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1" w:rsidRPr="00F7058B" w:rsidRDefault="005D5541" w:rsidP="005D55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7058B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</w:t>
      </w:r>
    </w:p>
    <w:p w:rsidR="005D5541" w:rsidRPr="00F7058B" w:rsidRDefault="005D5541" w:rsidP="005D55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058B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5D5541" w:rsidRPr="00F7058B" w:rsidRDefault="005D5541" w:rsidP="005D554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5541" w:rsidRPr="00F7058B" w:rsidRDefault="005D5541" w:rsidP="005D55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7058B">
        <w:rPr>
          <w:rFonts w:ascii="Times New Roman" w:eastAsia="Calibri" w:hAnsi="Times New Roman" w:cs="Times New Roman"/>
          <w:bCs/>
          <w:sz w:val="28"/>
          <w:szCs w:val="28"/>
        </w:rPr>
        <w:t>№ 139</w:t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E05FE" w:rsidRPr="00F7058B">
        <w:rPr>
          <w:rFonts w:ascii="Times New Roman" w:eastAsia="Calibri" w:hAnsi="Times New Roman" w:cs="Times New Roman"/>
          <w:bCs/>
          <w:sz w:val="28"/>
          <w:szCs w:val="28"/>
        </w:rPr>
        <w:t>ноябрь</w:t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E05FE" w:rsidRPr="00F7058B">
        <w:rPr>
          <w:rFonts w:ascii="Times New Roman" w:eastAsia="Calibri" w:hAnsi="Times New Roman" w:cs="Times New Roman"/>
          <w:bCs/>
          <w:sz w:val="28"/>
          <w:szCs w:val="28"/>
        </w:rPr>
        <w:t>декаб</w:t>
      </w:r>
      <w:r w:rsidRPr="00F7058B">
        <w:rPr>
          <w:rFonts w:ascii="Times New Roman" w:eastAsia="Calibri" w:hAnsi="Times New Roman" w:cs="Times New Roman"/>
          <w:bCs/>
          <w:sz w:val="28"/>
          <w:szCs w:val="28"/>
        </w:rPr>
        <w:t>рь 2016 года</w:t>
      </w:r>
    </w:p>
    <w:p w:rsidR="005D5541" w:rsidRDefault="005D5541" w:rsidP="005D5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19EA" w:rsidRPr="00F7058B" w:rsidRDefault="002C19EA" w:rsidP="005D5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6606" w:rsidRDefault="00461C87" w:rsidP="0035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ТПП РФ </w:t>
      </w:r>
      <w:r w:rsidR="00356606" w:rsidRPr="0081446E">
        <w:rPr>
          <w:rFonts w:ascii="Times New Roman" w:eastAsia="Calibri" w:hAnsi="Times New Roman" w:cs="Times New Roman"/>
          <w:b/>
          <w:sz w:val="28"/>
          <w:szCs w:val="28"/>
        </w:rPr>
        <w:t xml:space="preserve">повысят </w:t>
      </w:r>
    </w:p>
    <w:p w:rsidR="00356606" w:rsidRPr="0081446E" w:rsidRDefault="00356606" w:rsidP="0035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46E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эффективность деятельности </w:t>
      </w:r>
      <w:r w:rsidR="00461C87">
        <w:rPr>
          <w:rFonts w:ascii="Times New Roman" w:eastAsia="Calibri" w:hAnsi="Times New Roman" w:cs="Times New Roman"/>
          <w:b/>
          <w:sz w:val="28"/>
          <w:szCs w:val="28"/>
        </w:rPr>
        <w:t>всей системы палат</w:t>
      </w:r>
    </w:p>
    <w:p w:rsidR="00356606" w:rsidRPr="0081446E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606" w:rsidRPr="0081446E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46E">
        <w:rPr>
          <w:rFonts w:ascii="Times New Roman" w:eastAsia="Calibri" w:hAnsi="Times New Roman" w:cs="Times New Roman"/>
          <w:sz w:val="28"/>
          <w:szCs w:val="28"/>
        </w:rPr>
        <w:t xml:space="preserve">Законом РФ «О торгово-промышленных палатах в Российской Федерации» установлено, что  палаты имеют право выполнять функции организаций, образующих инфраструктуру поддержки субъектов малого и среднего предпринимательства, а также содействовать развитию экспорта российских товаров и услуг и оказывать практическую помощь предпринимателям в проведении операций на внешнем рынке. </w:t>
      </w:r>
    </w:p>
    <w:p w:rsidR="00356606" w:rsidRPr="0081446E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46E">
        <w:rPr>
          <w:rFonts w:ascii="Times New Roman" w:eastAsia="Calibri" w:hAnsi="Times New Roman" w:cs="Times New Roman"/>
          <w:sz w:val="28"/>
          <w:szCs w:val="28"/>
        </w:rPr>
        <w:t>Вместе с тем, торгово-промышленные палаты прямо не указаны в перечне организаций инфраструктуры поддержки субъектов малого и среднего предпринимательства, закрепленном Федеральным законом «О развитии малого и среднего предпринимательства в Российской Федерации».</w:t>
      </w:r>
    </w:p>
    <w:p w:rsidR="00356606" w:rsidRPr="0081446E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46E">
        <w:rPr>
          <w:rFonts w:ascii="Times New Roman" w:eastAsia="Calibri" w:hAnsi="Times New Roman" w:cs="Times New Roman"/>
          <w:sz w:val="28"/>
          <w:szCs w:val="28"/>
        </w:rPr>
        <w:t>Такое положение дел дает формальный повод органам исполнительной власти субъектов Российской Федерации не включать торгово-промышленные палаты в число исполнителей региональных и муниципальных программ поддержки малого и среднего предпринимательства.</w:t>
      </w:r>
    </w:p>
    <w:p w:rsidR="00356606" w:rsidRPr="0081446E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46E">
        <w:rPr>
          <w:rFonts w:ascii="Times New Roman" w:eastAsia="Calibri" w:hAnsi="Times New Roman" w:cs="Times New Roman"/>
          <w:sz w:val="28"/>
          <w:szCs w:val="28"/>
        </w:rPr>
        <w:t>Аналогичная ситуация сложилась и в сфере поддерж</w:t>
      </w:r>
      <w:r w:rsidR="00522FAD">
        <w:rPr>
          <w:rFonts w:ascii="Times New Roman" w:eastAsia="Calibri" w:hAnsi="Times New Roman" w:cs="Times New Roman"/>
          <w:sz w:val="28"/>
          <w:szCs w:val="28"/>
        </w:rPr>
        <w:t xml:space="preserve">ки экспортной деятельности. </w:t>
      </w:r>
      <w:r w:rsidRPr="0081446E">
        <w:rPr>
          <w:rFonts w:ascii="Times New Roman" w:eastAsia="Calibri" w:hAnsi="Times New Roman" w:cs="Times New Roman"/>
          <w:sz w:val="28"/>
          <w:szCs w:val="28"/>
        </w:rPr>
        <w:t>Федеральный закон «О банке развития» связывает реализацию функций в целях финансовой поддержки экспортной деятельности только с Внешэкономбанком, Российским экспортным центром, акционерным обществом "Российское агентство по страхованию экспортных кредитов и инвестиций", Государственным специализированным Российским экспортно-импортным банком и их дочерними хозяйственными обществами и не предполагает реализацию торгово-промышленными палатами указанных полномочий.</w:t>
      </w:r>
    </w:p>
    <w:p w:rsidR="00356606" w:rsidRPr="0081446E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46E">
        <w:rPr>
          <w:rFonts w:ascii="Times New Roman" w:eastAsia="Calibri" w:hAnsi="Times New Roman" w:cs="Times New Roman"/>
          <w:sz w:val="28"/>
          <w:szCs w:val="28"/>
        </w:rPr>
        <w:t xml:space="preserve">В этой связи </w:t>
      </w:r>
      <w:r w:rsidRPr="00262009">
        <w:rPr>
          <w:rFonts w:ascii="Times New Roman" w:eastAsia="Calibri" w:hAnsi="Times New Roman" w:cs="Times New Roman"/>
          <w:b/>
          <w:sz w:val="28"/>
          <w:szCs w:val="28"/>
        </w:rPr>
        <w:t>25 ноября 2016 года</w:t>
      </w:r>
      <w:r w:rsidRPr="0081446E">
        <w:rPr>
          <w:rFonts w:ascii="Times New Roman" w:eastAsia="Calibri" w:hAnsi="Times New Roman" w:cs="Times New Roman"/>
          <w:sz w:val="28"/>
          <w:szCs w:val="28"/>
        </w:rPr>
        <w:t xml:space="preserve"> в ходе заседания Совета при Президенте РФ по стратегическому развитию и приоритетным проектам </w:t>
      </w:r>
      <w:r w:rsidR="00EC27D6">
        <w:rPr>
          <w:rFonts w:ascii="Times New Roman" w:eastAsia="Calibri" w:hAnsi="Times New Roman" w:cs="Times New Roman"/>
          <w:sz w:val="28"/>
          <w:szCs w:val="28"/>
        </w:rPr>
        <w:t xml:space="preserve">Президентом </w:t>
      </w:r>
      <w:r w:rsidRPr="0081446E">
        <w:rPr>
          <w:rFonts w:ascii="Times New Roman" w:eastAsia="Calibri" w:hAnsi="Times New Roman" w:cs="Times New Roman"/>
          <w:sz w:val="28"/>
          <w:szCs w:val="28"/>
        </w:rPr>
        <w:t xml:space="preserve">ТПП РФ </w:t>
      </w:r>
      <w:r w:rsidR="00EC27D6">
        <w:rPr>
          <w:rFonts w:ascii="Times New Roman" w:eastAsia="Calibri" w:hAnsi="Times New Roman" w:cs="Times New Roman"/>
          <w:sz w:val="28"/>
          <w:szCs w:val="28"/>
        </w:rPr>
        <w:t xml:space="preserve">С.Н. </w:t>
      </w:r>
      <w:proofErr w:type="spellStart"/>
      <w:r w:rsidR="00EC27D6">
        <w:rPr>
          <w:rFonts w:ascii="Times New Roman" w:eastAsia="Calibri" w:hAnsi="Times New Roman" w:cs="Times New Roman"/>
          <w:sz w:val="28"/>
          <w:szCs w:val="28"/>
        </w:rPr>
        <w:t>Катыриным</w:t>
      </w:r>
      <w:proofErr w:type="spellEnd"/>
      <w:r w:rsidR="00EC27D6">
        <w:rPr>
          <w:rFonts w:ascii="Times New Roman" w:eastAsia="Calibri" w:hAnsi="Times New Roman" w:cs="Times New Roman"/>
          <w:sz w:val="28"/>
          <w:szCs w:val="28"/>
        </w:rPr>
        <w:t xml:space="preserve"> был предложен</w:t>
      </w:r>
      <w:r w:rsidRPr="0081446E">
        <w:rPr>
          <w:rFonts w:ascii="Times New Roman" w:eastAsia="Calibri" w:hAnsi="Times New Roman" w:cs="Times New Roman"/>
          <w:sz w:val="28"/>
          <w:szCs w:val="28"/>
        </w:rPr>
        <w:t xml:space="preserve"> ряд инициатив. В частности, доработать нормативную правовую базу таким образом, чтобы ТПП РФ, являясь институтом развития предпринимательства, была отнесена специальными федеральными законами к инфраструктуре поддержки субъектов малого и среднего предпринимательства, а также поддержки экспорта.</w:t>
      </w:r>
    </w:p>
    <w:p w:rsidR="00356606" w:rsidRPr="0081446E" w:rsidRDefault="004C3272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</w:t>
      </w:r>
      <w:r w:rsidR="00356606" w:rsidRPr="0081446E">
        <w:rPr>
          <w:rFonts w:ascii="Times New Roman" w:eastAsia="Calibri" w:hAnsi="Times New Roman" w:cs="Times New Roman"/>
          <w:sz w:val="28"/>
          <w:szCs w:val="28"/>
        </w:rPr>
        <w:t xml:space="preserve"> Палатой высказано мнение о необходимости реализации программы аккредитации российских испытательных лабораторий и органов по сертификации в целях упрощения получения документов об оценке соответствия российской продукции международным стандартам.</w:t>
      </w:r>
    </w:p>
    <w:p w:rsidR="00356606" w:rsidRPr="0081446E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46E">
        <w:rPr>
          <w:rFonts w:ascii="Times New Roman" w:eastAsia="Calibri" w:hAnsi="Times New Roman" w:cs="Times New Roman"/>
          <w:sz w:val="28"/>
          <w:szCs w:val="28"/>
        </w:rPr>
        <w:t xml:space="preserve">Указанные инициативы были поддержаны Президентом России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1446E">
        <w:rPr>
          <w:rFonts w:ascii="Times New Roman" w:eastAsia="Calibri" w:hAnsi="Times New Roman" w:cs="Times New Roman"/>
          <w:sz w:val="28"/>
          <w:szCs w:val="28"/>
        </w:rPr>
        <w:t xml:space="preserve">В.В. Путиным. После чего разработанные ТПП РФ проекты федеральных законов «О внесении изменений в статью 15 Федерального закона «О развитии малого и </w:t>
      </w:r>
      <w:r w:rsidRPr="0081446E">
        <w:rPr>
          <w:rFonts w:ascii="Times New Roman" w:eastAsia="Calibri" w:hAnsi="Times New Roman" w:cs="Times New Roman"/>
          <w:sz w:val="28"/>
          <w:szCs w:val="28"/>
        </w:rPr>
        <w:lastRenderedPageBreak/>
        <w:t>среднего предпринимательства в Российской Федерации» и «О внесении изменений в статью 3.1. Федерального закона «О банке развития» были направлены Первому заместителю Председателя Правительства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C27D6">
        <w:rPr>
          <w:rFonts w:ascii="Times New Roman" w:eastAsia="Calibri" w:hAnsi="Times New Roman" w:cs="Times New Roman"/>
          <w:sz w:val="28"/>
          <w:szCs w:val="28"/>
        </w:rPr>
        <w:t xml:space="preserve">И.И. Шувалову с просьбой </w:t>
      </w:r>
      <w:proofErr w:type="gramStart"/>
      <w:r w:rsidR="00EC27D6">
        <w:rPr>
          <w:rFonts w:ascii="Times New Roman" w:eastAsia="Calibri" w:hAnsi="Times New Roman" w:cs="Times New Roman"/>
          <w:sz w:val="28"/>
          <w:szCs w:val="28"/>
        </w:rPr>
        <w:t>дать</w:t>
      </w:r>
      <w:proofErr w:type="gramEnd"/>
      <w:r w:rsidR="00EC27D6">
        <w:rPr>
          <w:rFonts w:ascii="Times New Roman" w:eastAsia="Calibri" w:hAnsi="Times New Roman" w:cs="Times New Roman"/>
          <w:sz w:val="28"/>
          <w:szCs w:val="28"/>
        </w:rPr>
        <w:t xml:space="preserve"> поручение федеральным органам исполнительной власти их проработать.</w:t>
      </w:r>
    </w:p>
    <w:p w:rsidR="00C628EB" w:rsidRDefault="00356606" w:rsidP="0035660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:rsidR="00356606" w:rsidRPr="00356606" w:rsidRDefault="00356606" w:rsidP="0035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606">
        <w:rPr>
          <w:rFonts w:ascii="Times New Roman" w:eastAsia="Calibri" w:hAnsi="Times New Roman" w:cs="Times New Roman"/>
          <w:b/>
          <w:sz w:val="28"/>
          <w:szCs w:val="28"/>
        </w:rPr>
        <w:t>Ориентир на 2017 год – Послание Президента страны</w:t>
      </w:r>
    </w:p>
    <w:p w:rsidR="00356606" w:rsidRPr="004C6745" w:rsidRDefault="00356606" w:rsidP="0035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606">
        <w:rPr>
          <w:rFonts w:ascii="Times New Roman" w:eastAsia="Calibri" w:hAnsi="Times New Roman" w:cs="Times New Roman"/>
          <w:b/>
          <w:sz w:val="28"/>
          <w:szCs w:val="28"/>
        </w:rPr>
        <w:t>Федеральному Собранию</w:t>
      </w:r>
    </w:p>
    <w:p w:rsidR="00356606" w:rsidRPr="004C6745" w:rsidRDefault="00356606" w:rsidP="003566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606" w:rsidRPr="004C6745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C6745">
        <w:rPr>
          <w:rFonts w:ascii="Times New Roman" w:eastAsia="Calibri" w:hAnsi="Times New Roman" w:cs="Times New Roman"/>
          <w:sz w:val="28"/>
          <w:szCs w:val="28"/>
        </w:rPr>
        <w:t xml:space="preserve"> декабря Президент Российской Федерации В.В.</w:t>
      </w:r>
      <w:r w:rsidR="004C3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745">
        <w:rPr>
          <w:rFonts w:ascii="Times New Roman" w:eastAsia="Calibri" w:hAnsi="Times New Roman" w:cs="Times New Roman"/>
          <w:sz w:val="28"/>
          <w:szCs w:val="28"/>
        </w:rPr>
        <w:t>Путин обратился с традиционным ежегодным Посланием Федеральному Собранию</w:t>
      </w:r>
      <w:r w:rsidR="00EC27D6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4C6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6606" w:rsidRPr="00EC27D6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45">
        <w:rPr>
          <w:rFonts w:ascii="Times New Roman" w:eastAsia="Calibri" w:hAnsi="Times New Roman" w:cs="Times New Roman"/>
          <w:sz w:val="28"/>
          <w:szCs w:val="28"/>
        </w:rPr>
        <w:t>В ка</w:t>
      </w:r>
      <w:r w:rsidR="00EC27D6">
        <w:rPr>
          <w:rFonts w:ascii="Times New Roman" w:eastAsia="Calibri" w:hAnsi="Times New Roman" w:cs="Times New Roman"/>
          <w:sz w:val="28"/>
          <w:szCs w:val="28"/>
        </w:rPr>
        <w:t>честве основных тезисов</w:t>
      </w:r>
      <w:r w:rsidR="00262009">
        <w:rPr>
          <w:rFonts w:ascii="Times New Roman" w:eastAsia="Calibri" w:hAnsi="Times New Roman" w:cs="Times New Roman"/>
          <w:sz w:val="28"/>
          <w:szCs w:val="28"/>
        </w:rPr>
        <w:t>, касающихся бизнеса,</w:t>
      </w:r>
      <w:r w:rsidR="00EC27D6">
        <w:rPr>
          <w:rFonts w:ascii="Times New Roman" w:eastAsia="Calibri" w:hAnsi="Times New Roman" w:cs="Times New Roman"/>
          <w:sz w:val="28"/>
          <w:szCs w:val="28"/>
        </w:rPr>
        <w:t xml:space="preserve"> можно выделить </w:t>
      </w:r>
      <w:proofErr w:type="gramStart"/>
      <w:r w:rsidR="00EC27D6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="00EC27D6" w:rsidRPr="00EC27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3DE6" w:rsidRPr="00522FAD" w:rsidRDefault="00D13DE6" w:rsidP="00D1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предложения по оптимизации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</w:t>
      </w:r>
      <w:r w:rsidR="00522FAD">
        <w:rPr>
          <w:rFonts w:ascii="Times New Roman" w:hAnsi="Times New Roman" w:cs="Times New Roman"/>
          <w:sz w:val="28"/>
          <w:szCs w:val="28"/>
        </w:rPr>
        <w:t>а</w:t>
      </w:r>
      <w:r w:rsidR="00522FAD" w:rsidRPr="00522FAD">
        <w:rPr>
          <w:rFonts w:ascii="Times New Roman" w:hAnsi="Times New Roman" w:cs="Times New Roman"/>
          <w:sz w:val="28"/>
          <w:szCs w:val="28"/>
        </w:rPr>
        <w:t>;</w:t>
      </w:r>
    </w:p>
    <w:p w:rsidR="00D13DE6" w:rsidRPr="00522FAD" w:rsidRDefault="00D13DE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предложения по ключевым параметрам налоговой системы на 2019 год и на последующие годы</w:t>
      </w:r>
      <w:r w:rsidR="00522FAD" w:rsidRPr="00522FAD">
        <w:rPr>
          <w:rFonts w:ascii="Times New Roman" w:hAnsi="Times New Roman" w:cs="Times New Roman"/>
          <w:sz w:val="28"/>
          <w:szCs w:val="28"/>
        </w:rPr>
        <w:t>;</w:t>
      </w:r>
    </w:p>
    <w:p w:rsidR="00356606" w:rsidRPr="004C6745" w:rsidRDefault="00522FAD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6606" w:rsidRPr="004C6745">
        <w:rPr>
          <w:rFonts w:ascii="Times New Roman" w:eastAsia="Calibri" w:hAnsi="Times New Roman" w:cs="Times New Roman"/>
          <w:sz w:val="28"/>
          <w:szCs w:val="28"/>
        </w:rPr>
        <w:t>исключить трактовку работы самозанятых граждан как незаконной предпринимательской деятельности, четко определить правовой статус самозанятых граждан, дать им возможность нормально, спокойно работать;</w:t>
      </w:r>
    </w:p>
    <w:p w:rsidR="00356606" w:rsidRPr="004C6745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45">
        <w:rPr>
          <w:rFonts w:ascii="Times New Roman" w:eastAsia="Calibri" w:hAnsi="Times New Roman" w:cs="Times New Roman"/>
          <w:sz w:val="28"/>
          <w:szCs w:val="28"/>
        </w:rPr>
        <w:t>- развивать небанковский финансовый сектор, что позволит привлекать средства инвесторов, граждан в экономику через облигации и другие механизмы.</w:t>
      </w:r>
    </w:p>
    <w:p w:rsidR="00356606" w:rsidRPr="004C6745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45">
        <w:rPr>
          <w:rFonts w:ascii="Times New Roman" w:eastAsia="Calibri" w:hAnsi="Times New Roman" w:cs="Times New Roman"/>
          <w:sz w:val="28"/>
          <w:szCs w:val="28"/>
        </w:rPr>
        <w:t xml:space="preserve">- необходимо снять все барьеры для развития </w:t>
      </w:r>
      <w:proofErr w:type="spellStart"/>
      <w:r w:rsidRPr="004C6745">
        <w:rPr>
          <w:rFonts w:ascii="Times New Roman" w:eastAsia="Calibri" w:hAnsi="Times New Roman" w:cs="Times New Roman"/>
          <w:sz w:val="28"/>
          <w:szCs w:val="28"/>
        </w:rPr>
        <w:t>волонтёрства</w:t>
      </w:r>
      <w:proofErr w:type="spellEnd"/>
      <w:r w:rsidRPr="004C6745">
        <w:rPr>
          <w:rFonts w:ascii="Times New Roman" w:eastAsia="Calibri" w:hAnsi="Times New Roman" w:cs="Times New Roman"/>
          <w:sz w:val="28"/>
          <w:szCs w:val="28"/>
        </w:rPr>
        <w:t>, оказывать всестороннюю помощь социально ориентированным некоммерческим организациям;</w:t>
      </w:r>
    </w:p>
    <w:p w:rsidR="00356606" w:rsidRPr="004C6745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45">
        <w:rPr>
          <w:rFonts w:ascii="Times New Roman" w:eastAsia="Calibri" w:hAnsi="Times New Roman" w:cs="Times New Roman"/>
          <w:sz w:val="28"/>
          <w:szCs w:val="28"/>
        </w:rPr>
        <w:t xml:space="preserve">- регионам необходимо дать больше самостоятельности в определении приоритетов использования федеральных субсидий на поддержку АПК, а сам их объём связать с увеличением пашни, повышением урожайности, других качественных показателей эффективности производства, тем самым создав стимул для ввода в оборот простаивающих сельхозземель и внедрения передовых </w:t>
      </w:r>
      <w:proofErr w:type="spellStart"/>
      <w:r w:rsidRPr="004C6745">
        <w:rPr>
          <w:rFonts w:ascii="Times New Roman" w:eastAsia="Calibri" w:hAnsi="Times New Roman" w:cs="Times New Roman"/>
          <w:sz w:val="28"/>
          <w:szCs w:val="28"/>
        </w:rPr>
        <w:t>агротехнологий</w:t>
      </w:r>
      <w:proofErr w:type="spellEnd"/>
      <w:r w:rsidRPr="004C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6606" w:rsidRDefault="00356606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45">
        <w:rPr>
          <w:rFonts w:ascii="Times New Roman" w:eastAsia="Calibri" w:hAnsi="Times New Roman" w:cs="Times New Roman"/>
          <w:sz w:val="28"/>
          <w:szCs w:val="28"/>
        </w:rPr>
        <w:t xml:space="preserve">- оборонную отрасль следует нацелить на выпуск современной конкурентоспособной гражданской продукции для медицины, энергетики, авиации и судостроения, космоса, других высокотехнологичных отраслей. </w:t>
      </w:r>
      <w:r w:rsidR="00D13DE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C6745">
        <w:rPr>
          <w:rFonts w:ascii="Times New Roman" w:eastAsia="Calibri" w:hAnsi="Times New Roman" w:cs="Times New Roman"/>
          <w:sz w:val="28"/>
          <w:szCs w:val="28"/>
        </w:rPr>
        <w:t>В ближайшее десятилетие ее доля должна составить не менее трети от общего объема производства в оборонно-промышленном комплексе</w:t>
      </w:r>
      <w:r w:rsidR="00522FAD" w:rsidRPr="00522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FAD">
        <w:rPr>
          <w:rFonts w:ascii="Times New Roman" w:eastAsia="Calibri" w:hAnsi="Times New Roman" w:cs="Times New Roman"/>
          <w:sz w:val="28"/>
          <w:szCs w:val="28"/>
        </w:rPr>
        <w:t>и др</w:t>
      </w:r>
      <w:r w:rsidRPr="004C6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009" w:rsidRDefault="00262009" w:rsidP="00356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Палата </w:t>
      </w:r>
      <w:r w:rsidR="00D13DE6">
        <w:rPr>
          <w:rFonts w:ascii="Times New Roman" w:eastAsia="Calibri" w:hAnsi="Times New Roman" w:cs="Times New Roman"/>
          <w:sz w:val="28"/>
          <w:szCs w:val="28"/>
        </w:rPr>
        <w:t>прямо поименована в отдельных пунктах перечня поручений Президента РФ</w:t>
      </w:r>
      <w:r w:rsidR="00522FAD">
        <w:rPr>
          <w:rFonts w:ascii="Times New Roman" w:eastAsia="Calibri" w:hAnsi="Times New Roman" w:cs="Times New Roman"/>
          <w:sz w:val="28"/>
          <w:szCs w:val="28"/>
        </w:rPr>
        <w:t xml:space="preserve"> В.В. Путина, вытекающих из Послания</w:t>
      </w:r>
      <w:r w:rsidR="00EC74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DE6" w:rsidRDefault="00D13DE6" w:rsidP="00D1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E6">
        <w:rPr>
          <w:rFonts w:ascii="Times New Roman" w:hAnsi="Times New Roman" w:cs="Times New Roman"/>
          <w:sz w:val="28"/>
          <w:szCs w:val="28"/>
        </w:rPr>
        <w:t>Так, в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EC74FE">
        <w:rPr>
          <w:rFonts w:ascii="Times New Roman" w:hAnsi="Times New Roman" w:cs="Times New Roman"/>
          <w:sz w:val="28"/>
          <w:szCs w:val="28"/>
        </w:rPr>
        <w:t xml:space="preserve"> в</w:t>
      </w:r>
      <w:r w:rsidR="00EC74FE" w:rsidRPr="004D7F43">
        <w:rPr>
          <w:rFonts w:ascii="Times New Roman" w:hAnsi="Times New Roman" w:cs="Times New Roman"/>
          <w:sz w:val="28"/>
          <w:szCs w:val="28"/>
        </w:rPr>
        <w:t xml:space="preserve"> проект комплексного плана действий Правительства РФ на 2017-2015 годы в целях достижения не позднее 2019-2020 годов темпов роста экономики Российской Федерации, превышающих темпы роста мировой экономики</w:t>
      </w:r>
      <w:r w:rsidR="00522FAD">
        <w:rPr>
          <w:rFonts w:ascii="Times New Roman" w:hAnsi="Times New Roman" w:cs="Times New Roman"/>
          <w:sz w:val="28"/>
          <w:szCs w:val="28"/>
        </w:rPr>
        <w:t>, Палата планирует предложить</w:t>
      </w:r>
      <w:r w:rsidRPr="00D13D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FE" w:rsidRPr="004D7F43" w:rsidRDefault="00EC74FE" w:rsidP="00D1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7F43">
        <w:rPr>
          <w:rFonts w:ascii="Times New Roman" w:hAnsi="Times New Roman" w:cs="Times New Roman"/>
          <w:sz w:val="28"/>
          <w:szCs w:val="28"/>
        </w:rPr>
        <w:t>ринять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D7F43">
        <w:rPr>
          <w:rFonts w:ascii="Times New Roman" w:hAnsi="Times New Roman" w:cs="Times New Roman"/>
          <w:sz w:val="28"/>
          <w:szCs w:val="28"/>
        </w:rPr>
        <w:t xml:space="preserve"> закон, </w:t>
      </w:r>
      <w:r>
        <w:rPr>
          <w:rFonts w:ascii="Times New Roman" w:hAnsi="Times New Roman" w:cs="Times New Roman"/>
          <w:sz w:val="28"/>
          <w:szCs w:val="28"/>
        </w:rPr>
        <w:t>регулирующий</w:t>
      </w:r>
      <w:r w:rsidRPr="004D7F43">
        <w:rPr>
          <w:rFonts w:ascii="Times New Roman" w:hAnsi="Times New Roman" w:cs="Times New Roman"/>
          <w:sz w:val="28"/>
          <w:szCs w:val="28"/>
        </w:rPr>
        <w:t xml:space="preserve"> институт социального предпринимательства,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4D7F43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 мер</w:t>
      </w:r>
      <w:r w:rsidRPr="004D7F43">
        <w:rPr>
          <w:rFonts w:ascii="Times New Roman" w:hAnsi="Times New Roman" w:cs="Times New Roman"/>
          <w:sz w:val="28"/>
          <w:szCs w:val="28"/>
        </w:rPr>
        <w:t>, направленных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предпринимательства в РФ</w:t>
      </w:r>
      <w:r w:rsidRPr="004D7F43">
        <w:rPr>
          <w:rFonts w:ascii="Times New Roman" w:hAnsi="Times New Roman" w:cs="Times New Roman"/>
          <w:sz w:val="28"/>
          <w:szCs w:val="28"/>
        </w:rPr>
        <w:t>;</w:t>
      </w:r>
    </w:p>
    <w:p w:rsidR="00EC74FE" w:rsidRPr="004D7F43" w:rsidRDefault="00EC74FE" w:rsidP="00EC74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 закрепить статус т</w:t>
      </w:r>
      <w:r w:rsidRPr="004D7F43">
        <w:rPr>
          <w:rFonts w:ascii="Times New Roman" w:hAnsi="Times New Roman" w:cs="Times New Roman"/>
          <w:color w:val="000000" w:themeColor="text1"/>
          <w:sz w:val="28"/>
          <w:szCs w:val="28"/>
        </w:rPr>
        <w:t>оргово-промышленны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D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 как части инфраструктуры поддержки малого и среднего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дприним</w:t>
      </w:r>
      <w:r w:rsidRPr="004D7F43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ательства;</w:t>
      </w:r>
    </w:p>
    <w:p w:rsidR="00EC74FE" w:rsidRPr="004D7F43" w:rsidRDefault="00EC74FE" w:rsidP="00EC74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95E">
        <w:rPr>
          <w:rFonts w:ascii="Times New Roman" w:hAnsi="Times New Roman" w:cs="Times New Roman"/>
          <w:sz w:val="28"/>
          <w:szCs w:val="28"/>
        </w:rPr>
        <w:t xml:space="preserve">- осуществить введение в правовое поле «самозанятых» граждан и обеспечить </w:t>
      </w:r>
      <w:r w:rsidRPr="0096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комфортных условий для начала их легальной работы;</w:t>
      </w:r>
    </w:p>
    <w:p w:rsidR="00EC74FE" w:rsidRPr="00E51AD4" w:rsidRDefault="00EC74FE" w:rsidP="00EC7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принять базовый закон об инновационной деятельности, который стал бы </w:t>
      </w:r>
      <w:r w:rsidRPr="00E51AD4">
        <w:rPr>
          <w:rFonts w:ascii="Times New Roman" w:hAnsi="Times New Roman" w:cs="Times New Roman"/>
          <w:sz w:val="28"/>
          <w:szCs w:val="28"/>
        </w:rPr>
        <w:t xml:space="preserve">основой комплексной модернизации </w:t>
      </w:r>
      <w:r>
        <w:rPr>
          <w:rFonts w:ascii="Times New Roman" w:hAnsi="Times New Roman" w:cs="Times New Roman"/>
          <w:sz w:val="28"/>
          <w:szCs w:val="28"/>
        </w:rPr>
        <w:t xml:space="preserve">правовой базы </w:t>
      </w:r>
      <w:r w:rsidRPr="00E51AD4">
        <w:rPr>
          <w:rFonts w:ascii="Times New Roman" w:hAnsi="Times New Roman" w:cs="Times New Roman"/>
          <w:sz w:val="28"/>
          <w:szCs w:val="28"/>
        </w:rPr>
        <w:t xml:space="preserve">России в сфере </w:t>
      </w:r>
      <w:r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E51AD4">
        <w:rPr>
          <w:rFonts w:ascii="Times New Roman" w:hAnsi="Times New Roman" w:cs="Times New Roman"/>
          <w:sz w:val="28"/>
          <w:szCs w:val="28"/>
        </w:rPr>
        <w:t xml:space="preserve">использования результатов </w:t>
      </w:r>
      <w:r>
        <w:rPr>
          <w:rFonts w:ascii="Times New Roman" w:hAnsi="Times New Roman" w:cs="Times New Roman"/>
          <w:sz w:val="28"/>
          <w:szCs w:val="28"/>
        </w:rPr>
        <w:t>научно-технической деятельности;</w:t>
      </w:r>
    </w:p>
    <w:p w:rsidR="00EC74FE" w:rsidRPr="00E51AD4" w:rsidRDefault="00EC74FE" w:rsidP="00EC7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D4">
        <w:rPr>
          <w:rFonts w:ascii="Times New Roman" w:hAnsi="Times New Roman" w:cs="Times New Roman"/>
          <w:sz w:val="28"/>
          <w:szCs w:val="28"/>
        </w:rPr>
        <w:t xml:space="preserve">- отменить проведение повторных проверок предпринимателей при совершении однотипных внешнеторговых операций; </w:t>
      </w:r>
    </w:p>
    <w:p w:rsidR="00EC74FE" w:rsidRPr="00BE704D" w:rsidRDefault="00EC74FE" w:rsidP="00EC7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AD4">
        <w:rPr>
          <w:rFonts w:ascii="Times New Roman" w:hAnsi="Times New Roman" w:cs="Times New Roman"/>
          <w:sz w:val="28"/>
          <w:szCs w:val="28"/>
        </w:rPr>
        <w:t xml:space="preserve">- сформировать рейтинг глобальной конкурентоспособности российских </w:t>
      </w:r>
      <w:proofErr w:type="spellStart"/>
      <w:r w:rsidRPr="00E51AD4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E51AD4">
        <w:rPr>
          <w:rFonts w:ascii="Times New Roman" w:hAnsi="Times New Roman" w:cs="Times New Roman"/>
          <w:sz w:val="28"/>
          <w:szCs w:val="28"/>
        </w:rPr>
        <w:t xml:space="preserve"> экспортно</w:t>
      </w:r>
      <w:r w:rsidR="004C3272">
        <w:rPr>
          <w:rFonts w:ascii="Times New Roman" w:hAnsi="Times New Roman" w:cs="Times New Roman"/>
          <w:sz w:val="28"/>
          <w:szCs w:val="28"/>
        </w:rPr>
        <w:t>-</w:t>
      </w:r>
      <w:r w:rsidRPr="00E51AD4">
        <w:rPr>
          <w:rFonts w:ascii="Times New Roman" w:hAnsi="Times New Roman" w:cs="Times New Roman"/>
          <w:sz w:val="28"/>
          <w:szCs w:val="28"/>
        </w:rPr>
        <w:t>ориентированных компаний и разработать специальный механизм их поддержки, особенно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AD4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>такой экспорт осуществляют малые и средние предприятия</w:t>
      </w:r>
      <w:r w:rsidRPr="00BE704D">
        <w:rPr>
          <w:rFonts w:ascii="Times New Roman" w:hAnsi="Times New Roman" w:cs="Times New Roman"/>
          <w:sz w:val="28"/>
          <w:szCs w:val="28"/>
        </w:rPr>
        <w:t>;</w:t>
      </w:r>
    </w:p>
    <w:p w:rsidR="00EC74FE" w:rsidRPr="00867806" w:rsidRDefault="00EC74FE" w:rsidP="00EC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7806">
        <w:rPr>
          <w:rFonts w:ascii="Times New Roman" w:hAnsi="Times New Roman" w:cs="Times New Roman"/>
          <w:sz w:val="28"/>
          <w:szCs w:val="28"/>
        </w:rPr>
        <w:t>развития новых импортозамещающих произво</w:t>
      </w:r>
      <w:proofErr w:type="gramStart"/>
      <w:r w:rsidRPr="0086780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67806">
        <w:rPr>
          <w:rFonts w:ascii="Times New Roman" w:hAnsi="Times New Roman" w:cs="Times New Roman"/>
          <w:sz w:val="28"/>
          <w:szCs w:val="28"/>
        </w:rPr>
        <w:t xml:space="preserve">оссии предоставить налоговые льготы по налогу на прибыль организаций и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67806">
        <w:rPr>
          <w:rFonts w:ascii="Times New Roman" w:hAnsi="Times New Roman" w:cs="Times New Roman"/>
          <w:sz w:val="28"/>
          <w:szCs w:val="28"/>
        </w:rPr>
        <w:t>на период становления производства;</w:t>
      </w:r>
    </w:p>
    <w:p w:rsidR="00262009" w:rsidRPr="00C628EB" w:rsidRDefault="00EC74FE" w:rsidP="00C6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867806">
        <w:rPr>
          <w:rFonts w:ascii="Times New Roman" w:hAnsi="Times New Roman" w:cs="Times New Roman"/>
          <w:sz w:val="28"/>
          <w:szCs w:val="28"/>
        </w:rPr>
        <w:t xml:space="preserve">федеральный закон «О </w:t>
      </w:r>
      <w:proofErr w:type="spellStart"/>
      <w:r w:rsidRPr="0086780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867806">
        <w:rPr>
          <w:rFonts w:ascii="Times New Roman" w:hAnsi="Times New Roman" w:cs="Times New Roman"/>
          <w:sz w:val="28"/>
          <w:szCs w:val="28"/>
        </w:rPr>
        <w:t xml:space="preserve">-ярмарочной и </w:t>
      </w:r>
      <w:proofErr w:type="spellStart"/>
      <w:r w:rsidRPr="00867806">
        <w:rPr>
          <w:rFonts w:ascii="Times New Roman" w:hAnsi="Times New Roman" w:cs="Times New Roman"/>
          <w:sz w:val="28"/>
          <w:szCs w:val="28"/>
        </w:rPr>
        <w:t>конгрессной</w:t>
      </w:r>
      <w:proofErr w:type="spellEnd"/>
      <w:r w:rsidRPr="00867806">
        <w:rPr>
          <w:rFonts w:ascii="Times New Roman" w:hAnsi="Times New Roman" w:cs="Times New Roman"/>
          <w:sz w:val="28"/>
          <w:szCs w:val="28"/>
        </w:rPr>
        <w:t xml:space="preserve"> деятельности в Российской Федерации»</w:t>
      </w:r>
      <w:r w:rsidR="00D13DE6" w:rsidRPr="00D13DE6">
        <w:rPr>
          <w:rFonts w:ascii="Times New Roman" w:hAnsi="Times New Roman" w:cs="Times New Roman"/>
          <w:sz w:val="28"/>
          <w:szCs w:val="28"/>
        </w:rPr>
        <w:t xml:space="preserve"> </w:t>
      </w:r>
      <w:r w:rsidR="00D13DE6">
        <w:rPr>
          <w:rFonts w:ascii="Times New Roman" w:hAnsi="Times New Roman" w:cs="Times New Roman"/>
          <w:sz w:val="28"/>
          <w:szCs w:val="28"/>
        </w:rPr>
        <w:t>и пр.</w:t>
      </w:r>
    </w:p>
    <w:p w:rsidR="00C628EB" w:rsidRPr="004D15FF" w:rsidRDefault="00C628EB" w:rsidP="00C62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49A">
        <w:rPr>
          <w:rFonts w:ascii="Times New Roman" w:hAnsi="Times New Roman"/>
          <w:sz w:val="28"/>
          <w:szCs w:val="28"/>
        </w:rPr>
        <w:t xml:space="preserve">Что касается </w:t>
      </w:r>
      <w:r w:rsidRPr="00C628EB">
        <w:rPr>
          <w:rFonts w:ascii="Times New Roman" w:hAnsi="Times New Roman"/>
          <w:i/>
          <w:sz w:val="28"/>
          <w:szCs w:val="28"/>
        </w:rPr>
        <w:t>поручения по</w:t>
      </w:r>
      <w:r w:rsidRPr="00C628EB">
        <w:rPr>
          <w:rFonts w:ascii="Times New Roman" w:hAnsi="Times New Roman" w:cs="Times New Roman"/>
          <w:i/>
          <w:sz w:val="28"/>
          <w:szCs w:val="28"/>
        </w:rPr>
        <w:t xml:space="preserve"> оптимизации налоговых льгот</w:t>
      </w:r>
      <w:r>
        <w:rPr>
          <w:rFonts w:ascii="Times New Roman" w:hAnsi="Times New Roman"/>
          <w:sz w:val="28"/>
          <w:szCs w:val="28"/>
        </w:rPr>
        <w:t xml:space="preserve">, то </w:t>
      </w:r>
      <w:r w:rsidR="00522FAD">
        <w:rPr>
          <w:rFonts w:ascii="Times New Roman" w:hAnsi="Times New Roman"/>
          <w:sz w:val="28"/>
          <w:szCs w:val="28"/>
        </w:rPr>
        <w:t>у ТПП РФ</w:t>
      </w:r>
      <w:r>
        <w:rPr>
          <w:rFonts w:ascii="Times New Roman" w:hAnsi="Times New Roman"/>
          <w:sz w:val="28"/>
          <w:szCs w:val="28"/>
        </w:rPr>
        <w:t xml:space="preserve"> уже есть ряд </w:t>
      </w:r>
      <w:r w:rsidR="00522FAD">
        <w:rPr>
          <w:rFonts w:ascii="Times New Roman" w:hAnsi="Times New Roman"/>
          <w:sz w:val="28"/>
          <w:szCs w:val="28"/>
        </w:rPr>
        <w:t xml:space="preserve">«стартовых» </w:t>
      </w:r>
      <w:r>
        <w:rPr>
          <w:rFonts w:ascii="Times New Roman" w:hAnsi="Times New Roman"/>
          <w:sz w:val="28"/>
          <w:szCs w:val="28"/>
        </w:rPr>
        <w:t>предложений</w:t>
      </w:r>
      <w:r w:rsidRPr="004D15FF">
        <w:rPr>
          <w:rFonts w:ascii="Times New Roman" w:hAnsi="Times New Roman"/>
          <w:sz w:val="28"/>
          <w:szCs w:val="28"/>
        </w:rPr>
        <w:t>:</w:t>
      </w:r>
    </w:p>
    <w:p w:rsidR="00C628EB" w:rsidRPr="00082873" w:rsidRDefault="00C628EB" w:rsidP="00C6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05F7B">
        <w:rPr>
          <w:rFonts w:ascii="Times New Roman" w:hAnsi="Times New Roman" w:cs="Times New Roman"/>
          <w:sz w:val="28"/>
          <w:szCs w:val="28"/>
        </w:rPr>
        <w:t xml:space="preserve">свободить от налога на имущество основные средства, находящиеся на консервации и реконструкции, </w:t>
      </w:r>
      <w:proofErr w:type="spellStart"/>
      <w:r w:rsidRPr="00F05F7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05F7B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F05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7B">
        <w:rPr>
          <w:rFonts w:ascii="Times New Roman" w:hAnsi="Times New Roman" w:cs="Times New Roman"/>
          <w:sz w:val="28"/>
          <w:szCs w:val="28"/>
        </w:rPr>
        <w:t>их консервация/реконструкция не позволяет использовать имущество в производственной деятельности и получать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2873">
        <w:rPr>
          <w:rFonts w:ascii="Times New Roman" w:hAnsi="Times New Roman" w:cs="Times New Roman"/>
          <w:sz w:val="28"/>
          <w:szCs w:val="28"/>
        </w:rPr>
        <w:t>;</w:t>
      </w:r>
    </w:p>
    <w:p w:rsidR="00C628EB" w:rsidRPr="00522FAD" w:rsidRDefault="00C628EB" w:rsidP="00C6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7806">
        <w:rPr>
          <w:rFonts w:ascii="Times New Roman" w:hAnsi="Times New Roman" w:cs="Times New Roman"/>
          <w:sz w:val="28"/>
          <w:szCs w:val="28"/>
        </w:rPr>
        <w:t>простить процедуры получения льгот в рамках региональных инвест</w:t>
      </w:r>
      <w:r w:rsidR="00522FAD">
        <w:rPr>
          <w:rFonts w:ascii="Times New Roman" w:hAnsi="Times New Roman" w:cs="Times New Roman"/>
          <w:sz w:val="28"/>
          <w:szCs w:val="28"/>
        </w:rPr>
        <w:t>иционных проектов</w:t>
      </w:r>
      <w:r w:rsidR="00522FAD" w:rsidRPr="00522FAD">
        <w:rPr>
          <w:rFonts w:ascii="Times New Roman" w:hAnsi="Times New Roman" w:cs="Times New Roman"/>
          <w:sz w:val="28"/>
          <w:szCs w:val="28"/>
        </w:rPr>
        <w:t>;</w:t>
      </w:r>
    </w:p>
    <w:p w:rsidR="00C628EB" w:rsidRPr="00FD4807" w:rsidRDefault="00C628EB" w:rsidP="00C6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97A">
        <w:rPr>
          <w:rFonts w:ascii="Times New Roman" w:hAnsi="Times New Roman" w:cs="Times New Roman"/>
          <w:sz w:val="28"/>
          <w:szCs w:val="28"/>
        </w:rPr>
        <w:t xml:space="preserve">предоставить дополнительные  имущественные налоговые льготы для организаций, </w:t>
      </w:r>
      <w:r w:rsidRPr="00144981">
        <w:rPr>
          <w:rFonts w:ascii="Times New Roman" w:hAnsi="Times New Roman" w:cs="Times New Roman"/>
          <w:sz w:val="28"/>
          <w:szCs w:val="28"/>
        </w:rPr>
        <w:t>имеющих на балансе объекты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(например, оздо</w:t>
      </w:r>
      <w:r w:rsidRPr="00144981">
        <w:rPr>
          <w:rFonts w:ascii="Times New Roman" w:hAnsi="Times New Roman" w:cs="Times New Roman"/>
          <w:sz w:val="28"/>
          <w:szCs w:val="28"/>
        </w:rPr>
        <w:t>ровительные лагеря для детей, пансионаты и прочее);</w:t>
      </w:r>
    </w:p>
    <w:p w:rsidR="00C628EB" w:rsidRPr="00C628EB" w:rsidRDefault="00C628EB" w:rsidP="00C62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вернуть</w:t>
      </w:r>
      <w:r w:rsidRPr="00661B52">
        <w:rPr>
          <w:rFonts w:ascii="Times New Roman" w:hAnsi="Times New Roman"/>
          <w:sz w:val="28"/>
          <w:szCs w:val="28"/>
        </w:rPr>
        <w:t xml:space="preserve"> инвестиционную льготу по налогу на прибыль в форме уменьшения суммы уплачиваемого налога в размере 50% затрат компаний на модернизацию </w:t>
      </w:r>
      <w:r>
        <w:rPr>
          <w:rFonts w:ascii="Times New Roman" w:hAnsi="Times New Roman"/>
          <w:sz w:val="28"/>
          <w:szCs w:val="28"/>
        </w:rPr>
        <w:t xml:space="preserve">и реконструкцию </w:t>
      </w:r>
      <w:r w:rsidRPr="00661B52">
        <w:rPr>
          <w:rFonts w:ascii="Times New Roman" w:hAnsi="Times New Roman"/>
          <w:sz w:val="28"/>
          <w:szCs w:val="28"/>
        </w:rPr>
        <w:t>имеющихся основных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C628EB" w:rsidRPr="00522FAD" w:rsidRDefault="00C628EB" w:rsidP="00522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</w:t>
      </w:r>
      <w:r w:rsidRPr="00C628EB">
        <w:rPr>
          <w:rFonts w:ascii="Times New Roman" w:hAnsi="Times New Roman"/>
          <w:i/>
          <w:sz w:val="28"/>
          <w:szCs w:val="28"/>
        </w:rPr>
        <w:t>о втором поручении</w:t>
      </w:r>
      <w:r w:rsidR="00522FAD">
        <w:rPr>
          <w:rFonts w:ascii="Times New Roman" w:hAnsi="Times New Roman"/>
          <w:i/>
          <w:sz w:val="28"/>
          <w:szCs w:val="28"/>
        </w:rPr>
        <w:t xml:space="preserve">, </w:t>
      </w:r>
      <w:r w:rsidR="00522FAD" w:rsidRPr="009C0C2D">
        <w:rPr>
          <w:rFonts w:ascii="Times New Roman" w:hAnsi="Times New Roman"/>
          <w:sz w:val="28"/>
          <w:szCs w:val="28"/>
        </w:rPr>
        <w:t>в котором Палата определена соисполнителем, то</w:t>
      </w:r>
      <w:r w:rsidRPr="009C0C2D">
        <w:rPr>
          <w:rFonts w:ascii="Times New Roman" w:hAnsi="Times New Roman"/>
          <w:sz w:val="28"/>
          <w:szCs w:val="28"/>
        </w:rPr>
        <w:t xml:space="preserve"> </w:t>
      </w:r>
      <w:r w:rsidR="00522FAD" w:rsidRPr="009C0C2D">
        <w:rPr>
          <w:rFonts w:ascii="Times New Roman" w:hAnsi="Times New Roman"/>
          <w:sz w:val="28"/>
          <w:szCs w:val="28"/>
        </w:rPr>
        <w:t>настройка</w:t>
      </w:r>
      <w:r w:rsidRPr="009C0C2D">
        <w:rPr>
          <w:rFonts w:ascii="Times New Roman" w:hAnsi="Times New Roman"/>
          <w:sz w:val="28"/>
          <w:szCs w:val="28"/>
        </w:rPr>
        <w:t xml:space="preserve"> налоговой системы</w:t>
      </w:r>
      <w:r w:rsidR="00522FAD">
        <w:rPr>
          <w:rFonts w:ascii="Times New Roman" w:hAnsi="Times New Roman"/>
          <w:sz w:val="28"/>
          <w:szCs w:val="28"/>
        </w:rPr>
        <w:t xml:space="preserve"> должна производиться с акцентом на </w:t>
      </w:r>
      <w:r w:rsidR="00522FAD" w:rsidRPr="00657D98">
        <w:rPr>
          <w:rFonts w:ascii="Times New Roman" w:hAnsi="Times New Roman"/>
          <w:b/>
          <w:sz w:val="28"/>
          <w:szCs w:val="28"/>
        </w:rPr>
        <w:t>стимулирующую</w:t>
      </w:r>
      <w:r w:rsidR="00522FAD">
        <w:rPr>
          <w:rFonts w:ascii="Times New Roman" w:hAnsi="Times New Roman"/>
          <w:sz w:val="28"/>
          <w:szCs w:val="28"/>
        </w:rPr>
        <w:t xml:space="preserve"> </w:t>
      </w:r>
      <w:r w:rsidRPr="005E4506">
        <w:rPr>
          <w:rFonts w:ascii="Times New Roman" w:hAnsi="Times New Roman" w:cs="Times New Roman"/>
          <w:b/>
          <w:sz w:val="28"/>
          <w:szCs w:val="28"/>
        </w:rPr>
        <w:t>функцию налогов</w:t>
      </w:r>
      <w:r w:rsidRPr="005E4506">
        <w:rPr>
          <w:rFonts w:ascii="Times New Roman" w:hAnsi="Times New Roman" w:cs="Times New Roman"/>
          <w:sz w:val="28"/>
          <w:szCs w:val="28"/>
        </w:rPr>
        <w:t>:</w:t>
      </w:r>
    </w:p>
    <w:p w:rsidR="00C628EB" w:rsidRPr="00867806" w:rsidRDefault="00C628EB" w:rsidP="00C6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7806">
        <w:rPr>
          <w:rFonts w:ascii="Times New Roman" w:hAnsi="Times New Roman" w:cs="Times New Roman"/>
          <w:sz w:val="28"/>
          <w:szCs w:val="28"/>
        </w:rPr>
        <w:t>развития новых импортозамещающих произво</w:t>
      </w:r>
      <w:proofErr w:type="gramStart"/>
      <w:r w:rsidRPr="0086780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67806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9C0C2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867806">
        <w:rPr>
          <w:rFonts w:ascii="Times New Roman" w:hAnsi="Times New Roman" w:cs="Times New Roman"/>
          <w:sz w:val="28"/>
          <w:szCs w:val="28"/>
        </w:rPr>
        <w:t xml:space="preserve">предоставить налоговые льготы по налогу на прибыль организаций и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67806">
        <w:rPr>
          <w:rFonts w:ascii="Times New Roman" w:hAnsi="Times New Roman" w:cs="Times New Roman"/>
          <w:sz w:val="28"/>
          <w:szCs w:val="28"/>
        </w:rPr>
        <w:t>на период становления производства;</w:t>
      </w:r>
    </w:p>
    <w:p w:rsidR="00C628EB" w:rsidRDefault="00C628EB" w:rsidP="00C6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06">
        <w:rPr>
          <w:rFonts w:ascii="Times New Roman" w:hAnsi="Times New Roman" w:cs="Times New Roman"/>
          <w:sz w:val="28"/>
          <w:szCs w:val="28"/>
        </w:rPr>
        <w:t xml:space="preserve">- </w:t>
      </w:r>
      <w:r w:rsidR="009C0C2D">
        <w:rPr>
          <w:rFonts w:ascii="Times New Roman" w:hAnsi="Times New Roman" w:cs="Times New Roman"/>
          <w:sz w:val="28"/>
          <w:szCs w:val="28"/>
        </w:rPr>
        <w:t xml:space="preserve">следует ввести </w:t>
      </w:r>
      <w:r w:rsidRPr="00867806">
        <w:rPr>
          <w:rFonts w:ascii="Times New Roman" w:hAnsi="Times New Roman" w:cs="Times New Roman"/>
          <w:sz w:val="28"/>
          <w:szCs w:val="28"/>
        </w:rPr>
        <w:t xml:space="preserve">льготы и преференции для потребителей импортозамещающей продукции российского производства (повышающие </w:t>
      </w:r>
      <w:r w:rsidRPr="00867806">
        <w:rPr>
          <w:rFonts w:ascii="Times New Roman" w:hAnsi="Times New Roman" w:cs="Times New Roman"/>
          <w:sz w:val="28"/>
          <w:szCs w:val="28"/>
        </w:rPr>
        <w:lastRenderedPageBreak/>
        <w:t>коэффициенты к норме амортизации, освобождение от налога на имущество отечественной продукции, единовременный уче</w:t>
      </w:r>
      <w:r>
        <w:rPr>
          <w:rFonts w:ascii="Times New Roman" w:hAnsi="Times New Roman" w:cs="Times New Roman"/>
          <w:sz w:val="28"/>
          <w:szCs w:val="28"/>
        </w:rPr>
        <w:t>т ряда видов капитальных затрат);</w:t>
      </w:r>
    </w:p>
    <w:p w:rsidR="00C628EB" w:rsidRDefault="00C628EB" w:rsidP="00C6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налоговые льготы для организаций, реализующих проекты по строительству скоростных магистралей и железнодорожных путей и пр.</w:t>
      </w:r>
    </w:p>
    <w:p w:rsidR="009C0C2D" w:rsidRPr="0018085C" w:rsidRDefault="009C0C2D" w:rsidP="00C6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анкетирования системы ТПП РФ по обоим поручениям будет сформирован комплекс предложений и законодательных мер.</w:t>
      </w:r>
    </w:p>
    <w:p w:rsidR="00356606" w:rsidRDefault="00356606" w:rsidP="003566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3C6F" w:rsidRPr="00F7058B" w:rsidRDefault="00023C6F" w:rsidP="00023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8B">
        <w:rPr>
          <w:rFonts w:ascii="Times New Roman" w:hAnsi="Times New Roman" w:cs="Times New Roman"/>
          <w:b/>
          <w:sz w:val="28"/>
          <w:szCs w:val="28"/>
        </w:rPr>
        <w:t>Бизнес и власть обсудили налоговую политику</w:t>
      </w:r>
    </w:p>
    <w:p w:rsidR="00023C6F" w:rsidRDefault="00023C6F" w:rsidP="00023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8B">
        <w:rPr>
          <w:rFonts w:ascii="Times New Roman" w:hAnsi="Times New Roman" w:cs="Times New Roman"/>
          <w:b/>
          <w:sz w:val="28"/>
          <w:szCs w:val="28"/>
        </w:rPr>
        <w:t>на среднесрочную перспективу</w:t>
      </w:r>
    </w:p>
    <w:p w:rsidR="00023C6F" w:rsidRPr="00F7058B" w:rsidRDefault="00023C6F" w:rsidP="00023C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6F" w:rsidRPr="00F7058B" w:rsidRDefault="00023C6F" w:rsidP="00356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28 ноября - 1 декабря в Торгово-промышленной палате РФ состоялся X</w:t>
      </w:r>
      <w:r w:rsidRPr="00F7058B">
        <w:rPr>
          <w:rFonts w:ascii="Times New Roman" w:hAnsi="Times New Roman" w:cs="Times New Roman"/>
          <w:sz w:val="28"/>
          <w:szCs w:val="28"/>
          <w:lang w:val="en-US"/>
        </w:rPr>
        <w:t>II </w:t>
      </w:r>
      <w:r w:rsidRPr="00F7058B">
        <w:rPr>
          <w:rFonts w:ascii="Times New Roman" w:hAnsi="Times New Roman" w:cs="Times New Roman"/>
          <w:sz w:val="28"/>
          <w:szCs w:val="28"/>
        </w:rPr>
        <w:t>Всероссийский налоговый форум «25 лет налоговой системе России». Мероприятия Форума включили 10 тематических секций, пленарное заседание, участие в которых приняло более 1000 человек.</w:t>
      </w:r>
      <w:r w:rsidR="00356606" w:rsidRPr="00356606">
        <w:rPr>
          <w:rFonts w:ascii="Times New Roman" w:hAnsi="Times New Roman" w:cs="Times New Roman"/>
          <w:sz w:val="28"/>
          <w:szCs w:val="28"/>
        </w:rPr>
        <w:t xml:space="preserve"> </w:t>
      </w:r>
      <w:r w:rsidR="00356606">
        <w:rPr>
          <w:rFonts w:ascii="Times New Roman" w:hAnsi="Times New Roman" w:cs="Times New Roman"/>
          <w:sz w:val="28"/>
          <w:szCs w:val="28"/>
        </w:rPr>
        <w:t>К Форуму Палата разработала</w:t>
      </w:r>
      <w:r w:rsidR="00356606" w:rsidRPr="00F7058B">
        <w:rPr>
          <w:rFonts w:ascii="Times New Roman" w:hAnsi="Times New Roman" w:cs="Times New Roman"/>
          <w:sz w:val="28"/>
          <w:szCs w:val="28"/>
        </w:rPr>
        <w:t xml:space="preserve"> альтернативный вариант з</w:t>
      </w:r>
      <w:r w:rsidR="00356606">
        <w:rPr>
          <w:rFonts w:ascii="Times New Roman" w:hAnsi="Times New Roman" w:cs="Times New Roman"/>
          <w:sz w:val="28"/>
          <w:szCs w:val="28"/>
        </w:rPr>
        <w:t>аконопроекта о налоговой выгоде и издала  с</w:t>
      </w:r>
      <w:r w:rsidR="00EC27D6">
        <w:rPr>
          <w:rFonts w:ascii="Times New Roman" w:hAnsi="Times New Roman" w:cs="Times New Roman"/>
          <w:sz w:val="28"/>
          <w:szCs w:val="28"/>
        </w:rPr>
        <w:t>оответствующую брошюру</w:t>
      </w:r>
      <w:r w:rsidR="00356606" w:rsidRPr="00F7058B">
        <w:rPr>
          <w:rFonts w:ascii="Times New Roman" w:hAnsi="Times New Roman" w:cs="Times New Roman"/>
          <w:sz w:val="28"/>
          <w:szCs w:val="28"/>
        </w:rPr>
        <w:t xml:space="preserve"> «Налоговая выгода: кодификация и пе</w:t>
      </w:r>
      <w:r w:rsidR="00356606">
        <w:rPr>
          <w:rFonts w:ascii="Times New Roman" w:hAnsi="Times New Roman" w:cs="Times New Roman"/>
          <w:sz w:val="28"/>
          <w:szCs w:val="28"/>
        </w:rPr>
        <w:t>резагрузка»</w:t>
      </w:r>
      <w:r w:rsidR="00356606" w:rsidRPr="00F7058B">
        <w:rPr>
          <w:rFonts w:ascii="Times New Roman" w:hAnsi="Times New Roman" w:cs="Times New Roman"/>
          <w:sz w:val="28"/>
          <w:szCs w:val="28"/>
        </w:rPr>
        <w:t>.</w:t>
      </w:r>
    </w:p>
    <w:p w:rsidR="009C0C2D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С основным докладом на пленарном заседании выступил Президент ТПП РФ С.Н. </w:t>
      </w:r>
      <w:proofErr w:type="spellStart"/>
      <w:r w:rsidRPr="00F7058B">
        <w:rPr>
          <w:rFonts w:ascii="Times New Roman" w:hAnsi="Times New Roman" w:cs="Times New Roman"/>
          <w:sz w:val="28"/>
          <w:szCs w:val="28"/>
        </w:rPr>
        <w:t>Катырин</w:t>
      </w:r>
      <w:proofErr w:type="spellEnd"/>
      <w:r w:rsidRPr="00F7058B">
        <w:rPr>
          <w:rFonts w:ascii="Times New Roman" w:hAnsi="Times New Roman" w:cs="Times New Roman"/>
          <w:sz w:val="28"/>
          <w:szCs w:val="28"/>
        </w:rPr>
        <w:t xml:space="preserve">. Он </w:t>
      </w:r>
      <w:r w:rsidR="00356606">
        <w:rPr>
          <w:rFonts w:ascii="Times New Roman" w:hAnsi="Times New Roman" w:cs="Times New Roman"/>
          <w:sz w:val="28"/>
          <w:szCs w:val="28"/>
        </w:rPr>
        <w:t xml:space="preserve">отметил, </w:t>
      </w:r>
      <w:r w:rsidR="009C0C2D">
        <w:rPr>
          <w:rFonts w:ascii="Times New Roman" w:hAnsi="Times New Roman" w:cs="Times New Roman"/>
          <w:sz w:val="28"/>
          <w:szCs w:val="28"/>
        </w:rPr>
        <w:t xml:space="preserve">что </w:t>
      </w:r>
      <w:r w:rsidR="00356606">
        <w:rPr>
          <w:rFonts w:ascii="Times New Roman" w:hAnsi="Times New Roman" w:cs="Times New Roman"/>
          <w:sz w:val="28"/>
          <w:szCs w:val="28"/>
        </w:rPr>
        <w:t>в 2016 году исполнилось</w:t>
      </w:r>
      <w:r w:rsidRPr="00F7058B">
        <w:rPr>
          <w:rFonts w:ascii="Times New Roman" w:hAnsi="Times New Roman" w:cs="Times New Roman"/>
          <w:sz w:val="28"/>
          <w:szCs w:val="28"/>
        </w:rPr>
        <w:t xml:space="preserve"> 25 лет современной налоговой системе России, основы которой были заложены 27 декабря 1991 года </w:t>
      </w:r>
      <w:r w:rsidR="00356606">
        <w:rPr>
          <w:rFonts w:ascii="Times New Roman" w:hAnsi="Times New Roman" w:cs="Times New Roman"/>
          <w:sz w:val="28"/>
          <w:szCs w:val="28"/>
        </w:rPr>
        <w:t>Законом</w:t>
      </w:r>
      <w:r w:rsidRPr="00F7058B">
        <w:rPr>
          <w:rFonts w:ascii="Times New Roman" w:hAnsi="Times New Roman" w:cs="Times New Roman"/>
          <w:sz w:val="28"/>
          <w:szCs w:val="28"/>
        </w:rPr>
        <w:t xml:space="preserve"> РФ № 2118-1 «Об основах налоговой системы в Российской Федерации». </w:t>
      </w:r>
    </w:p>
    <w:p w:rsidR="00023C6F" w:rsidRPr="00F7058B" w:rsidRDefault="00356606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C6F" w:rsidRPr="00F7058B">
        <w:rPr>
          <w:rFonts w:ascii="Times New Roman" w:hAnsi="Times New Roman" w:cs="Times New Roman"/>
          <w:sz w:val="28"/>
          <w:szCs w:val="28"/>
        </w:rPr>
        <w:t>также подчеркнул, что сегодня серьезной системной проблемой остается слишком частое внесение изменений в НК РФ. Зачастую на инициирование поправок между первым и вторым чтением отводится 3-4 рабочих дня, учащаются случаи, когда принятый в первом чтении проект закона «догружают» ко второму чтению поправками, выходящими за рамки концепции первого чтения.</w:t>
      </w:r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Вместе с тем в 2016 году был принят ряд изменений в НК РФ, которые расцениваются предпринимателями позитивно: регионы получили право снижать ставки налогов по специальным налоговым режимам; введена возможность предоставления поручительства материнской компанией за дочернюю организацию (это предложение было инициировано ТПП РФ по обращению ряда членских организаций); принят ряд законов, направленных на исполнение поручений Президента РФ, данных по итогам VII Съезда ТПП РФ, например, в части упрощения получения вычета по НДС при экспорте несырьевых товаров, и т.д.</w:t>
      </w:r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Президент Палаты также заострил внимание на необходимости дальнейшего налогового стимулирования промышленности и притоке инвестиций в целях создания мощных акселераторов экономического роста. Для развития новых импортозамещающих произво</w:t>
      </w:r>
      <w:proofErr w:type="gramStart"/>
      <w:r w:rsidRPr="00F7058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7058B">
        <w:rPr>
          <w:rFonts w:ascii="Times New Roman" w:hAnsi="Times New Roman" w:cs="Times New Roman"/>
          <w:sz w:val="28"/>
          <w:szCs w:val="28"/>
        </w:rPr>
        <w:t>оссии предпринимательское сообщество предлагает</w:t>
      </w:r>
      <w:r w:rsidR="009C0C2D">
        <w:rPr>
          <w:rFonts w:ascii="Times New Roman" w:hAnsi="Times New Roman" w:cs="Times New Roman"/>
          <w:sz w:val="28"/>
          <w:szCs w:val="28"/>
        </w:rPr>
        <w:t>ся</w:t>
      </w:r>
      <w:r w:rsidRPr="00F7058B">
        <w:rPr>
          <w:rFonts w:ascii="Times New Roman" w:hAnsi="Times New Roman" w:cs="Times New Roman"/>
          <w:sz w:val="28"/>
          <w:szCs w:val="28"/>
        </w:rPr>
        <w:t xml:space="preserve"> предоставить для этих производств налоговые льготы по налогу на прибыль организаций и налогу на имущество на период становления производства. Необходимо предоставить льготы и преференции для потребителей импортозамещающей продукции российского производства и др.</w:t>
      </w:r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lastRenderedPageBreak/>
        <w:t xml:space="preserve">В целом, Палата, по словам С.Н. </w:t>
      </w:r>
      <w:proofErr w:type="spellStart"/>
      <w:r w:rsidRPr="00F7058B">
        <w:rPr>
          <w:rFonts w:ascii="Times New Roman" w:hAnsi="Times New Roman" w:cs="Times New Roman"/>
          <w:sz w:val="28"/>
          <w:szCs w:val="28"/>
        </w:rPr>
        <w:t>Катырина</w:t>
      </w:r>
      <w:proofErr w:type="spellEnd"/>
      <w:r w:rsidRPr="00F7058B">
        <w:rPr>
          <w:rFonts w:ascii="Times New Roman" w:hAnsi="Times New Roman" w:cs="Times New Roman"/>
          <w:sz w:val="28"/>
          <w:szCs w:val="28"/>
        </w:rPr>
        <w:t>, выступает за стабильность налогового законодательства, за существенное усиление роли предпринимательских объединений в экспертизе ключевых законопроектов, за неизменность условий налогообложения бизнеса в среднесрочной перспективе.</w:t>
      </w:r>
    </w:p>
    <w:p w:rsidR="00023C6F" w:rsidRPr="00F7058B" w:rsidRDefault="00023C6F" w:rsidP="009C0C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Руководитель ФНС России М.В. </w:t>
      </w:r>
      <w:proofErr w:type="spellStart"/>
      <w:r w:rsidRPr="00F7058B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F7058B">
        <w:rPr>
          <w:rFonts w:ascii="Times New Roman" w:hAnsi="Times New Roman" w:cs="Times New Roman"/>
          <w:sz w:val="28"/>
          <w:szCs w:val="28"/>
        </w:rPr>
        <w:t xml:space="preserve"> выступил с докладом, в котором отметил, что комфортная среда для бизнеса, равные конкурентные условия, отсутствие избыточных налоговых требований, стабильность – это основной вектор работы налоговой службы.</w:t>
      </w:r>
      <w:r w:rsidR="009C0C2D">
        <w:rPr>
          <w:rFonts w:ascii="Times New Roman" w:hAnsi="Times New Roman" w:cs="Times New Roman"/>
          <w:sz w:val="28"/>
          <w:szCs w:val="28"/>
        </w:rPr>
        <w:t xml:space="preserve"> </w:t>
      </w:r>
      <w:r w:rsidRPr="00F7058B">
        <w:rPr>
          <w:rFonts w:ascii="Times New Roman" w:hAnsi="Times New Roman" w:cs="Times New Roman"/>
          <w:sz w:val="28"/>
          <w:szCs w:val="28"/>
        </w:rPr>
        <w:t xml:space="preserve">Он подчеркнул, что ФНС прошла большой путь от практики тотальных выездных проверок до точечного контроля на основе </w:t>
      </w:r>
      <w:proofErr w:type="gramStart"/>
      <w:r w:rsidRPr="00F7058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F7058B">
        <w:rPr>
          <w:rFonts w:ascii="Times New Roman" w:hAnsi="Times New Roman" w:cs="Times New Roman"/>
          <w:sz w:val="28"/>
          <w:szCs w:val="28"/>
        </w:rPr>
        <w:t xml:space="preserve"> подхода. За девять месяцев 2016 года количество выездных налоговых проверок сократилось на 13,4 процента. Рост качества доказательной базы при проведении проверок позволяет снижать количество споров с бизнесом.</w:t>
      </w:r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С </w:t>
      </w:r>
      <w:r w:rsidR="00356606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F7058B">
        <w:rPr>
          <w:rFonts w:ascii="Times New Roman" w:hAnsi="Times New Roman" w:cs="Times New Roman"/>
          <w:sz w:val="28"/>
          <w:szCs w:val="28"/>
        </w:rPr>
        <w:t xml:space="preserve">2017 года ФНС России приступит к администрированию страховых взносов в государственные внебюджетные фонды. По словам М.В. </w:t>
      </w:r>
      <w:proofErr w:type="spellStart"/>
      <w:r w:rsidRPr="00F7058B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F7058B">
        <w:rPr>
          <w:rFonts w:ascii="Times New Roman" w:hAnsi="Times New Roman" w:cs="Times New Roman"/>
          <w:sz w:val="28"/>
          <w:szCs w:val="28"/>
        </w:rPr>
        <w:t xml:space="preserve">, новый порядок администрирования будет комфортным </w:t>
      </w:r>
      <w:r w:rsidR="00356606">
        <w:rPr>
          <w:rFonts w:ascii="Times New Roman" w:hAnsi="Times New Roman" w:cs="Times New Roman"/>
          <w:sz w:val="28"/>
          <w:szCs w:val="28"/>
        </w:rPr>
        <w:t>для налогоплательщиков. Сегодняшние</w:t>
      </w:r>
      <w:r w:rsidRPr="00F7058B">
        <w:rPr>
          <w:rFonts w:ascii="Times New Roman" w:hAnsi="Times New Roman" w:cs="Times New Roman"/>
          <w:sz w:val="28"/>
          <w:szCs w:val="28"/>
        </w:rPr>
        <w:t xml:space="preserve"> четыре формы отчетности объединятся в одну, будут единые правила, а это позволит работодателям легко перейти к взаимодействию с налоговой службой.</w:t>
      </w:r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Количество проверяющих органов сократится с трех до одного, проверок станет значительно меньше, подчеркнул глава ведомства. М.В. </w:t>
      </w:r>
      <w:proofErr w:type="spellStart"/>
      <w:r w:rsidRPr="00F7058B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F7058B">
        <w:rPr>
          <w:rFonts w:ascii="Times New Roman" w:hAnsi="Times New Roman" w:cs="Times New Roman"/>
          <w:sz w:val="28"/>
          <w:szCs w:val="28"/>
        </w:rPr>
        <w:t xml:space="preserve"> сообщил о проектах в рамках интеграции информационных систем ФНС России и Федеральной таможенной службой России. Создание единой информационной среды позволит оперативно выявлять недобросовестных участников ВЭД и создавать благоприятные условия для законопослушного бизнеса.</w:t>
      </w:r>
    </w:p>
    <w:p w:rsidR="00295DEC" w:rsidRDefault="00023C6F" w:rsidP="00356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Кроме того, в 2016 году ФНС России создала Единый реестр субъектов малого и среднего предпринимательства. Он обеспечивает автоматическое присвоение статуса субъекта малого и среднего предпринимательства и не требует от предпринимателей прохождения длительных административных процедур. В нем, по словам главы ФНС, уже зарегистрировано  более 5,7 млн. малых и средних предприятий.</w:t>
      </w:r>
    </w:p>
    <w:p w:rsidR="00023C6F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По итогам Форума рекомендации </w:t>
      </w:r>
      <w:r w:rsidR="00356606">
        <w:rPr>
          <w:rFonts w:ascii="Times New Roman" w:hAnsi="Times New Roman" w:cs="Times New Roman"/>
          <w:sz w:val="28"/>
          <w:szCs w:val="28"/>
        </w:rPr>
        <w:t xml:space="preserve">ТПП РФ </w:t>
      </w:r>
      <w:r w:rsidRPr="00F7058B">
        <w:rPr>
          <w:rFonts w:ascii="Times New Roman" w:hAnsi="Times New Roman" w:cs="Times New Roman"/>
          <w:sz w:val="28"/>
          <w:szCs w:val="28"/>
        </w:rPr>
        <w:t xml:space="preserve">направлены в Администрацию Президента РФ, Правительство Российской Федерации, Минфин России, Минэкономразвития России, </w:t>
      </w:r>
      <w:r w:rsidR="009C0C2D">
        <w:rPr>
          <w:rFonts w:ascii="Times New Roman" w:hAnsi="Times New Roman" w:cs="Times New Roman"/>
          <w:sz w:val="28"/>
          <w:szCs w:val="28"/>
        </w:rPr>
        <w:t>палаты Федерального Собрания</w:t>
      </w:r>
      <w:r w:rsidRPr="00F7058B">
        <w:rPr>
          <w:rFonts w:ascii="Times New Roman" w:hAnsi="Times New Roman" w:cs="Times New Roman"/>
          <w:sz w:val="28"/>
          <w:szCs w:val="28"/>
        </w:rPr>
        <w:t xml:space="preserve"> РФ и др. </w:t>
      </w:r>
    </w:p>
    <w:p w:rsidR="00356606" w:rsidRPr="00F7058B" w:rsidRDefault="00356606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03" w:rsidRDefault="00851203" w:rsidP="00023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6F" w:rsidRDefault="00023C6F" w:rsidP="00023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8B">
        <w:rPr>
          <w:rFonts w:ascii="Times New Roman" w:hAnsi="Times New Roman" w:cs="Times New Roman"/>
          <w:b/>
          <w:sz w:val="28"/>
          <w:szCs w:val="28"/>
        </w:rPr>
        <w:t>Неналоговые платежи: как карта ляжет</w:t>
      </w:r>
    </w:p>
    <w:p w:rsidR="00023C6F" w:rsidRPr="00F7058B" w:rsidRDefault="00023C6F" w:rsidP="00023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58B">
        <w:rPr>
          <w:rFonts w:ascii="Times New Roman" w:hAnsi="Times New Roman" w:cs="Times New Roman"/>
          <w:sz w:val="28"/>
          <w:szCs w:val="28"/>
        </w:rPr>
        <w:t xml:space="preserve">Согласно Плану мероприятий («дорожная карта») по систематизации платежей и формированию единого перечня неналоговых платежей, закреплению в законодательстве Российской Федерации единых правил установления, исчисления и взимания таких платежей, а также повышению эффективности их администрирования, утвержденному 28 октября 2016 года Первым заместителем </w:t>
      </w:r>
      <w:r w:rsidRPr="00F7058B">
        <w:rPr>
          <w:rFonts w:ascii="Times New Roman" w:hAnsi="Times New Roman" w:cs="Times New Roman"/>
          <w:sz w:val="28"/>
          <w:szCs w:val="28"/>
        </w:rPr>
        <w:lastRenderedPageBreak/>
        <w:t>Председателя Правительства РФ И.И. Шуваловым, первые меры по его исполнению уже должны быть выполнены.</w:t>
      </w:r>
      <w:proofErr w:type="gramEnd"/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Вместе с тем, мораторий на установлени</w:t>
      </w:r>
      <w:r w:rsidR="004C3272">
        <w:rPr>
          <w:rFonts w:ascii="Times New Roman" w:hAnsi="Times New Roman" w:cs="Times New Roman"/>
          <w:sz w:val="28"/>
          <w:szCs w:val="28"/>
        </w:rPr>
        <w:t>е</w:t>
      </w:r>
      <w:r w:rsidRPr="00F7058B">
        <w:rPr>
          <w:rFonts w:ascii="Times New Roman" w:hAnsi="Times New Roman" w:cs="Times New Roman"/>
          <w:sz w:val="28"/>
          <w:szCs w:val="28"/>
        </w:rPr>
        <w:t xml:space="preserve"> новых и изменени</w:t>
      </w:r>
      <w:r w:rsidR="004C3272">
        <w:rPr>
          <w:rFonts w:ascii="Times New Roman" w:hAnsi="Times New Roman" w:cs="Times New Roman"/>
          <w:sz w:val="28"/>
          <w:szCs w:val="28"/>
        </w:rPr>
        <w:t>е</w:t>
      </w:r>
      <w:r w:rsidRPr="00F7058B">
        <w:rPr>
          <w:rFonts w:ascii="Times New Roman" w:hAnsi="Times New Roman" w:cs="Times New Roman"/>
          <w:sz w:val="28"/>
          <w:szCs w:val="28"/>
        </w:rPr>
        <w:t xml:space="preserve"> действующих неналоговых платежей, предусмотренный в 1 пункте «дорожной карты», до сих пор не введен.</w:t>
      </w:r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Минфин России</w:t>
      </w:r>
      <w:r w:rsidR="00356606">
        <w:rPr>
          <w:rFonts w:ascii="Times New Roman" w:hAnsi="Times New Roman" w:cs="Times New Roman"/>
          <w:sz w:val="28"/>
          <w:szCs w:val="28"/>
        </w:rPr>
        <w:t>,</w:t>
      </w:r>
      <w:r w:rsidRPr="00F7058B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356606">
        <w:rPr>
          <w:rFonts w:ascii="Times New Roman" w:hAnsi="Times New Roman" w:cs="Times New Roman"/>
          <w:sz w:val="28"/>
          <w:szCs w:val="28"/>
        </w:rPr>
        <w:t>,</w:t>
      </w:r>
      <w:r w:rsidRPr="00F7058B">
        <w:rPr>
          <w:rFonts w:ascii="Times New Roman" w:hAnsi="Times New Roman" w:cs="Times New Roman"/>
          <w:sz w:val="28"/>
          <w:szCs w:val="28"/>
        </w:rPr>
        <w:t xml:space="preserve"> предложил законодательно определить статус неналоговых платежей в Бюджетном кодексе РФ. Причем предполагается, что указан</w:t>
      </w:r>
      <w:r w:rsidR="001F0971">
        <w:rPr>
          <w:rFonts w:ascii="Times New Roman" w:hAnsi="Times New Roman" w:cs="Times New Roman"/>
          <w:sz w:val="28"/>
          <w:szCs w:val="28"/>
        </w:rPr>
        <w:t>ные поправки Правительства планируется принять</w:t>
      </w:r>
      <w:r w:rsidRPr="00F7058B">
        <w:rPr>
          <w:rFonts w:ascii="Times New Roman" w:hAnsi="Times New Roman" w:cs="Times New Roman"/>
          <w:sz w:val="28"/>
          <w:szCs w:val="28"/>
        </w:rPr>
        <w:t xml:space="preserve"> </w:t>
      </w:r>
      <w:r w:rsidR="00356606">
        <w:rPr>
          <w:rFonts w:ascii="Times New Roman" w:hAnsi="Times New Roman" w:cs="Times New Roman"/>
          <w:sz w:val="28"/>
          <w:szCs w:val="28"/>
        </w:rPr>
        <w:t xml:space="preserve">весной 2017 года </w:t>
      </w:r>
      <w:r w:rsidRPr="00F7058B">
        <w:rPr>
          <w:rFonts w:ascii="Times New Roman" w:hAnsi="Times New Roman" w:cs="Times New Roman"/>
          <w:sz w:val="28"/>
          <w:szCs w:val="28"/>
        </w:rPr>
        <w:t>в рамках второго чтения законопроекта № 45980-7 «О внесении изменений в Бюджетный кодекс Российской Федерации».</w:t>
      </w:r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Поправками Минфина РФ, в частности, предусмотрено внесение в Бюджетный кодекс РФ положений о реестре государственных и муниципальных платежей, в котором будут учитываться все платежи, формирующие доходы бюджетов, а также платежи, остающиеся в распоряжении государственных и муниципальных учреждений и иных организаций, выполняющих государственные функции. Кроме того поправками предполагается установить, что введение новых или изменение действующих платежей будет производиться не ранее 1 января года, следующего за годом их принятия, но не ранее трех месяцев со дня принятия нормативных правовых актов, предусматривающих их введение или изменение.</w:t>
      </w:r>
    </w:p>
    <w:p w:rsidR="00023C6F" w:rsidRPr="00F7058B" w:rsidRDefault="00023C6F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Палата концептуально не поддерживает такой подход и настаивает на необходимости комплексного изменения системы уплаты неналоговых платежей. Соответствующие обращения были направлены в Минфин России и Минэконом</w:t>
      </w:r>
      <w:r w:rsidR="00356606">
        <w:rPr>
          <w:rFonts w:ascii="Times New Roman" w:hAnsi="Times New Roman" w:cs="Times New Roman"/>
          <w:sz w:val="28"/>
          <w:szCs w:val="28"/>
        </w:rPr>
        <w:t>развития</w:t>
      </w:r>
      <w:r w:rsidRPr="00F7058B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023C6F" w:rsidRPr="00F7058B" w:rsidRDefault="00023C6F" w:rsidP="00356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Реализация предложенных Минфином мер не позволит в полной мере реализовать соответствующее поручение Президента РФ, в котором речь идет об отдельном рамочном законе. </w:t>
      </w:r>
      <w:r w:rsidR="00356606" w:rsidRPr="00D927DD">
        <w:rPr>
          <w:rFonts w:ascii="Times New Roman" w:hAnsi="Times New Roman" w:cs="Times New Roman"/>
          <w:i/>
          <w:sz w:val="28"/>
          <w:szCs w:val="28"/>
        </w:rPr>
        <w:t xml:space="preserve">Соответствующий законопроект разработан ТПП РФ. </w:t>
      </w:r>
      <w:r w:rsidR="00356606">
        <w:rPr>
          <w:rFonts w:ascii="Times New Roman" w:hAnsi="Times New Roman" w:cs="Times New Roman"/>
          <w:sz w:val="28"/>
          <w:szCs w:val="28"/>
        </w:rPr>
        <w:t xml:space="preserve"> В нем </w:t>
      </w:r>
      <w:r w:rsidRPr="00F7058B">
        <w:rPr>
          <w:rFonts w:ascii="Times New Roman" w:hAnsi="Times New Roman" w:cs="Times New Roman"/>
          <w:sz w:val="28"/>
          <w:szCs w:val="28"/>
        </w:rPr>
        <w:t>закреплены общие принципы установления, введения и взимания неналоговых платежей, а также общие правила их администрирования. Палата полагает, что в законе целесообразно установить правила аналогичные общей части Налогового кодекса РФ, а также определить, что такие платежи и их основные элементы (ставки, плательщики и др.) должны быть установлены на уровне закона, а не подзаконного акта.</w:t>
      </w:r>
    </w:p>
    <w:p w:rsidR="00023C6F" w:rsidRDefault="00356606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</w:t>
      </w:r>
      <w:r w:rsidR="00023C6F" w:rsidRPr="00F7058B">
        <w:rPr>
          <w:rFonts w:ascii="Times New Roman" w:hAnsi="Times New Roman" w:cs="Times New Roman"/>
          <w:sz w:val="28"/>
          <w:szCs w:val="28"/>
        </w:rPr>
        <w:t xml:space="preserve"> обсуж</w:t>
      </w:r>
      <w:r>
        <w:rPr>
          <w:rFonts w:ascii="Times New Roman" w:hAnsi="Times New Roman" w:cs="Times New Roman"/>
          <w:sz w:val="28"/>
          <w:szCs w:val="28"/>
        </w:rPr>
        <w:t>дение законопроекта Палата планирует инициировать</w:t>
      </w:r>
      <w:r w:rsidR="00023C6F" w:rsidRPr="00F705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январе 2017 года</w:t>
      </w:r>
      <w:r w:rsidR="00023C6F" w:rsidRPr="00F7058B">
        <w:rPr>
          <w:rFonts w:ascii="Times New Roman" w:hAnsi="Times New Roman" w:cs="Times New Roman"/>
          <w:sz w:val="28"/>
          <w:szCs w:val="28"/>
        </w:rPr>
        <w:t>.</w:t>
      </w:r>
    </w:p>
    <w:p w:rsidR="00D927DD" w:rsidRPr="00F7058B" w:rsidRDefault="00D927DD" w:rsidP="00023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30 декабря 2016 года от Заместителя Министра финансов РФ А.В. Моисеева в ТПП РФ поступило предложение представить в срок до 16 января 2017 года свои предложения в перечень неналоговых платежей, подлежащих систематизации и упорядочиванию. Напомним, что изначальный перечень таких платежей, представленный Минфином Р</w:t>
      </w:r>
      <w:r w:rsidR="004C3272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в Правительство РФ, был неполным. В этой связи Палатой было направлено соответствующее обращение Первому вице-премьеру И.И. Шувалову. Ведется совместная работа по данному вопросу.</w:t>
      </w:r>
    </w:p>
    <w:p w:rsidR="00356606" w:rsidRDefault="00356606" w:rsidP="00EC2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203" w:rsidRPr="00C90705" w:rsidRDefault="00851203" w:rsidP="0085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7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Федеральный бюджет на 2017-2019 годы принят</w:t>
      </w:r>
    </w:p>
    <w:p w:rsidR="00851203" w:rsidRPr="00C90705" w:rsidRDefault="00851203" w:rsidP="00851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203" w:rsidRPr="00C90705" w:rsidRDefault="00851203" w:rsidP="00851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705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Дума в период осенней сессии рассмотрела и приняла </w:t>
      </w:r>
      <w:r w:rsidR="009C0C2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90705">
        <w:rPr>
          <w:rFonts w:ascii="Times New Roman" w:eastAsia="Calibri" w:hAnsi="Times New Roman" w:cs="Times New Roman"/>
          <w:sz w:val="28"/>
          <w:szCs w:val="28"/>
        </w:rPr>
        <w:t xml:space="preserve">9 декабря главный финансовый документ страны - Федеральный закон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90705">
        <w:rPr>
          <w:rFonts w:ascii="Times New Roman" w:eastAsia="Calibri" w:hAnsi="Times New Roman" w:cs="Times New Roman"/>
          <w:sz w:val="28"/>
          <w:szCs w:val="28"/>
        </w:rPr>
        <w:t>№ 415-ФЗ «О федеральном бюджете на 2017 год и на плановый период 2018 и 2019 годов» (подписан Президентом Российской Федер</w:t>
      </w:r>
      <w:r w:rsidR="009C0C2D">
        <w:rPr>
          <w:rFonts w:ascii="Times New Roman" w:eastAsia="Calibri" w:hAnsi="Times New Roman" w:cs="Times New Roman"/>
          <w:sz w:val="28"/>
          <w:szCs w:val="28"/>
        </w:rPr>
        <w:t>ации В.В.</w:t>
      </w:r>
      <w:r w:rsidR="004C3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C2D">
        <w:rPr>
          <w:rFonts w:ascii="Times New Roman" w:eastAsia="Calibri" w:hAnsi="Times New Roman" w:cs="Times New Roman"/>
          <w:sz w:val="28"/>
          <w:szCs w:val="28"/>
        </w:rPr>
        <w:t>Путиным 19 декабря 2016 года</w:t>
      </w:r>
      <w:r w:rsidRPr="00C9070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51203" w:rsidRPr="00C90705" w:rsidRDefault="00851203" w:rsidP="00851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705">
        <w:rPr>
          <w:rFonts w:ascii="Times New Roman" w:eastAsia="Calibri" w:hAnsi="Times New Roman" w:cs="Times New Roman"/>
          <w:sz w:val="28"/>
          <w:szCs w:val="28"/>
        </w:rPr>
        <w:t>Законом устанавливаются основные характеристики федерального бюджета на 2017 год и на плановый период 2018 и 2019 годов.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705">
        <w:rPr>
          <w:rFonts w:ascii="Times New Roman" w:eastAsia="Calibri" w:hAnsi="Times New Roman" w:cs="Times New Roman"/>
          <w:sz w:val="28"/>
          <w:szCs w:val="28"/>
        </w:rPr>
        <w:t>Так, параметры бюджета на 2017 год определяются исходя из прогнозируемого объёма валового внутреннего продукта в размере 86 806,0 миллиарда рублей и уровня инфляции, не превышающего 4%. Прогнозируемый общий объём доходов федерального бюджета составляет 13 487,6 миллиарда рублей, объём расходов – 16 240,8 миллиарда рублей. Дефицит федерального бюджета определён в объёме 2753,2 миллиарда рублей.</w:t>
      </w:r>
    </w:p>
    <w:p w:rsidR="00851203" w:rsidRPr="00C90705" w:rsidRDefault="00851203" w:rsidP="00851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Палата направляла</w:t>
      </w:r>
      <w:r w:rsidRPr="00C90705">
        <w:rPr>
          <w:rFonts w:ascii="Times New Roman" w:eastAsia="Calibri" w:hAnsi="Times New Roman" w:cs="Times New Roman"/>
          <w:sz w:val="28"/>
          <w:szCs w:val="28"/>
        </w:rPr>
        <w:t xml:space="preserve"> заключение в профильные комитеты Государственной Думы и Совета Федерации, участвовала в обсуждении проекта на экспертных советах и парламентских слушаниях.</w:t>
      </w:r>
    </w:p>
    <w:p w:rsidR="00851203" w:rsidRPr="00C90705" w:rsidRDefault="00851203" w:rsidP="00851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CE">
        <w:rPr>
          <w:rFonts w:ascii="Times New Roman" w:eastAsia="Calibri" w:hAnsi="Times New Roman" w:cs="Times New Roman"/>
          <w:sz w:val="28"/>
          <w:szCs w:val="28"/>
          <w:u w:val="single"/>
        </w:rPr>
        <w:t>Палатой были инициированы поправки ко второму чтению</w:t>
      </w:r>
      <w:r w:rsidRPr="00C90705">
        <w:rPr>
          <w:rFonts w:ascii="Times New Roman" w:eastAsia="Calibri" w:hAnsi="Times New Roman" w:cs="Times New Roman"/>
          <w:sz w:val="28"/>
          <w:szCs w:val="28"/>
        </w:rPr>
        <w:t>, предлагающие в «основных», а не в «резервных» статьях бюджета прямо закрепить финансирование малого и среднего предпринимательства, существенно увеличив его. В результате средства на эти цели были выведены из резерва и сумма прямого финансирования по подпрограмме «Развитие малого и среднего предпринимательства» на 2017 год составила 20 млрд. 613 млн. 983,2 тыс. рублей.</w:t>
      </w:r>
    </w:p>
    <w:p w:rsidR="00851203" w:rsidRPr="00D927DD" w:rsidRDefault="00851203" w:rsidP="00D92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705">
        <w:rPr>
          <w:rFonts w:ascii="Times New Roman" w:eastAsia="Calibri" w:hAnsi="Times New Roman" w:cs="Times New Roman"/>
          <w:sz w:val="28"/>
          <w:szCs w:val="28"/>
        </w:rPr>
        <w:t>Кроме того, удалось сохранить существующий объем средств Фонда развития промышленности, а в Постановлении Государственной Думы к третьему чтению Закона Правительству Российской Федерации рекомендовано в 2017 году, в случае поступления дополнительных доходов в федеральный бюджет, предусмотреть увеличение субсидий Фонду.</w:t>
      </w:r>
    </w:p>
    <w:p w:rsidR="00622608" w:rsidRDefault="00622608" w:rsidP="00EC27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2E5" w:rsidRDefault="007032E5" w:rsidP="00EC27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Реформа контрольно-надзорной деятельности выходит на новый уровень</w:t>
      </w:r>
    </w:p>
    <w:p w:rsidR="00EC27D6" w:rsidRPr="00EC27D6" w:rsidRDefault="00EC27D6" w:rsidP="00EC27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2E5" w:rsidRPr="007032E5" w:rsidRDefault="007032E5" w:rsidP="007032E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 xml:space="preserve">Реформирование системы государственного контроля определено в качестве одного из основных направлений стратегического развития Российской Федерации, реализуемых под эгидой Совета при Президенте по стратегическому развитию и приоритетным проектам. </w:t>
      </w:r>
    </w:p>
    <w:p w:rsidR="007032E5" w:rsidRPr="007032E5" w:rsidRDefault="007032E5" w:rsidP="007032E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Для координации реформы 1 ноября был сформирован общественно-деловой совет, в состав которого вошли, в том числе Вице-президент ТПП России В.В. Чубаров, а также председатель Совета ТПП РФ по инвестиционной политике А.В. Данилов-</w:t>
      </w:r>
      <w:proofErr w:type="spellStart"/>
      <w:r w:rsidRPr="007032E5">
        <w:rPr>
          <w:rFonts w:ascii="Times New Roman" w:eastAsia="Calibri" w:hAnsi="Times New Roman" w:cs="Times New Roman"/>
          <w:sz w:val="28"/>
          <w:szCs w:val="28"/>
        </w:rPr>
        <w:t>Данильян</w:t>
      </w:r>
      <w:proofErr w:type="spellEnd"/>
      <w:r w:rsidRPr="007032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32E5" w:rsidRPr="007032E5" w:rsidRDefault="007032E5" w:rsidP="00703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 xml:space="preserve">21 декабря на заседании президиума Совета при Президенте РФ по стратегическому развитию и приоритетным проектам утвержден </w:t>
      </w:r>
      <w:r w:rsidRPr="00EC27D6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приоритетной программы </w:t>
      </w:r>
      <w:r w:rsidRPr="00622608">
        <w:rPr>
          <w:rFonts w:ascii="Times New Roman" w:eastAsia="Calibri" w:hAnsi="Times New Roman" w:cs="Times New Roman"/>
          <w:sz w:val="28"/>
          <w:szCs w:val="28"/>
        </w:rPr>
        <w:t>«Реформа контрольной и надзорной деятельности»</w:t>
      </w:r>
      <w:r w:rsidR="00EC27D6" w:rsidRPr="00622608">
        <w:rPr>
          <w:rFonts w:ascii="Times New Roman" w:eastAsia="Calibri" w:hAnsi="Times New Roman" w:cs="Times New Roman"/>
          <w:sz w:val="28"/>
          <w:szCs w:val="28"/>
        </w:rPr>
        <w:t>,</w:t>
      </w:r>
      <w:r w:rsidR="00EC27D6">
        <w:rPr>
          <w:rFonts w:ascii="Times New Roman" w:eastAsia="Calibri" w:hAnsi="Times New Roman" w:cs="Times New Roman"/>
          <w:sz w:val="28"/>
          <w:szCs w:val="28"/>
        </w:rPr>
        <w:t xml:space="preserve"> рассчитанной до 2025 года.</w:t>
      </w:r>
    </w:p>
    <w:p w:rsidR="007032E5" w:rsidRPr="007032E5" w:rsidRDefault="007032E5" w:rsidP="00703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lastRenderedPageBreak/>
        <w:t>Программой  определено восемь самостоятельных проектов-задач</w:t>
      </w:r>
      <w:r w:rsidR="00EC27D6">
        <w:rPr>
          <w:rFonts w:ascii="Times New Roman" w:eastAsia="Calibri" w:hAnsi="Times New Roman" w:cs="Times New Roman"/>
          <w:sz w:val="28"/>
          <w:szCs w:val="28"/>
        </w:rPr>
        <w:t>, в реализации которых планирует участвовать ТПП РФ</w:t>
      </w:r>
      <w:r w:rsidRPr="007032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32E5" w:rsidRPr="007032E5" w:rsidRDefault="007032E5" w:rsidP="00703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 xml:space="preserve">Внедрение </w:t>
      </w:r>
      <w:proofErr w:type="gramStart"/>
      <w:r w:rsidRPr="007032E5">
        <w:rPr>
          <w:rFonts w:ascii="Times New Roman" w:eastAsia="Calibri" w:hAnsi="Times New Roman" w:cs="Times New Roman"/>
          <w:sz w:val="28"/>
          <w:szCs w:val="28"/>
        </w:rPr>
        <w:t>риск-ориентированного</w:t>
      </w:r>
      <w:proofErr w:type="gramEnd"/>
      <w:r w:rsidRPr="007032E5">
        <w:rPr>
          <w:rFonts w:ascii="Times New Roman" w:eastAsia="Calibri" w:hAnsi="Times New Roman" w:cs="Times New Roman"/>
          <w:sz w:val="28"/>
          <w:szCs w:val="28"/>
        </w:rPr>
        <w:t xml:space="preserve"> подхода при осуществлении контрольно-надзорной деятельности</w:t>
      </w:r>
    </w:p>
    <w:p w:rsidR="007032E5" w:rsidRPr="007032E5" w:rsidRDefault="007032E5" w:rsidP="00703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Внедрение системы оценки результативности и эффективности контрольно-надзорной деятельности</w:t>
      </w:r>
    </w:p>
    <w:p w:rsidR="007032E5" w:rsidRPr="007032E5" w:rsidRDefault="007032E5" w:rsidP="00703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Систематизация, сокращение количества и актуализация обязательных требований</w:t>
      </w:r>
    </w:p>
    <w:p w:rsidR="007032E5" w:rsidRPr="007032E5" w:rsidRDefault="007032E5" w:rsidP="00703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Внедрение системы комплексной профилактики нарушений обязательных требований</w:t>
      </w:r>
    </w:p>
    <w:p w:rsidR="007032E5" w:rsidRPr="007032E5" w:rsidRDefault="007032E5" w:rsidP="00703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Внедрение эффективных механизмов кадровой политики в деятельности контрольно-надзорных органов</w:t>
      </w:r>
    </w:p>
    <w:p w:rsidR="007032E5" w:rsidRPr="007032E5" w:rsidRDefault="007032E5" w:rsidP="00703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Внедрение системы предупреждения и профилактики коррупционных проявлений в контрольно-надзорной деятельности</w:t>
      </w:r>
    </w:p>
    <w:p w:rsidR="007032E5" w:rsidRPr="007032E5" w:rsidRDefault="007032E5" w:rsidP="00703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Автоматизация контрольно-надзорной деятельности</w:t>
      </w:r>
    </w:p>
    <w:p w:rsidR="007032E5" w:rsidRPr="007032E5" w:rsidRDefault="007032E5" w:rsidP="00703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Повышение качества реализации контрольно-надзорных полномочий на региональном и муниципальном уровнях</w:t>
      </w:r>
    </w:p>
    <w:p w:rsidR="007032E5" w:rsidRPr="007032E5" w:rsidRDefault="007032E5" w:rsidP="007032E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По ряду направлений планируется привлечение бизнеса для обсуждения проблемных вопросов и выработки совместных решений.</w:t>
      </w:r>
    </w:p>
    <w:p w:rsidR="007032E5" w:rsidRPr="007032E5" w:rsidRDefault="007032E5" w:rsidP="009C0C2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>Так, в рамках реализации приоритетного проекта реформы «Систематизация, сокращение количества и актуализация обязательных требований на территории Российской Федерации»  при контрольно-надзорных ведомствах планируется сформировать рабочие группы, ответственные за подготовку предложений по исключению устаревших, дублирующих и избыточных обязательных требований в области контрольно-надзорной деятельности. Органом исполнительной власти, ответственным за организацию процесса формирования рабочих</w:t>
      </w:r>
      <w:r w:rsidR="009C0C2D">
        <w:rPr>
          <w:rFonts w:ascii="Times New Roman" w:eastAsia="Calibri" w:hAnsi="Times New Roman" w:cs="Times New Roman"/>
          <w:sz w:val="28"/>
          <w:szCs w:val="28"/>
        </w:rPr>
        <w:t xml:space="preserve"> групп, является Минюст России, в который </w:t>
      </w:r>
      <w:r w:rsidR="00851203">
        <w:rPr>
          <w:rFonts w:ascii="Times New Roman" w:eastAsia="Calibri" w:hAnsi="Times New Roman" w:cs="Times New Roman"/>
          <w:sz w:val="28"/>
          <w:szCs w:val="28"/>
        </w:rPr>
        <w:t>в декабре 2016 года</w:t>
      </w:r>
      <w:r w:rsidRPr="007032E5">
        <w:rPr>
          <w:rFonts w:ascii="Times New Roman" w:eastAsia="Calibri" w:hAnsi="Times New Roman" w:cs="Times New Roman"/>
          <w:sz w:val="28"/>
          <w:szCs w:val="28"/>
        </w:rPr>
        <w:t xml:space="preserve"> направлен список представителей комитетов, советов и членских организаций Палаты (предложена 51 кандидатура). </w:t>
      </w:r>
    </w:p>
    <w:p w:rsidR="007032E5" w:rsidRPr="007032E5" w:rsidRDefault="007032E5" w:rsidP="007032E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Законодательную основу реформы контрольно-надзорной деятельности должен составить новый базовый федеральный закон </w:t>
      </w:r>
      <w:r w:rsidRPr="00851203">
        <w:rPr>
          <w:rFonts w:ascii="Times New Roman" w:hAnsi="Times New Roman" w:cs="Times New Roman"/>
          <w:b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7032E5">
        <w:rPr>
          <w:rFonts w:ascii="Times New Roman" w:hAnsi="Times New Roman" w:cs="Times New Roman"/>
          <w:sz w:val="28"/>
          <w:szCs w:val="28"/>
        </w:rPr>
        <w:t>.</w:t>
      </w:r>
    </w:p>
    <w:p w:rsidR="007032E5" w:rsidRPr="00851203" w:rsidRDefault="007032E5" w:rsidP="00851203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В целях урегулирования оставшихся разногласий по законопроекту </w:t>
      </w:r>
      <w:r w:rsidR="008512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32E5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9C0C2D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7032E5">
        <w:rPr>
          <w:rFonts w:ascii="Times New Roman" w:hAnsi="Times New Roman" w:cs="Times New Roman"/>
          <w:sz w:val="28"/>
          <w:szCs w:val="28"/>
        </w:rPr>
        <w:t>Минэкономразвития России провело согласительное совещание с ТПП России и иными бизнес объединениями.</w:t>
      </w:r>
      <w:r w:rsidR="00851203">
        <w:rPr>
          <w:rFonts w:ascii="Times New Roman" w:hAnsi="Times New Roman" w:cs="Times New Roman"/>
          <w:sz w:val="28"/>
          <w:szCs w:val="28"/>
        </w:rPr>
        <w:t xml:space="preserve"> У</w:t>
      </w:r>
      <w:r w:rsidRPr="007032E5">
        <w:rPr>
          <w:rFonts w:ascii="Times New Roman" w:hAnsi="Times New Roman" w:cs="Times New Roman"/>
          <w:sz w:val="28"/>
          <w:szCs w:val="28"/>
        </w:rPr>
        <w:t xml:space="preserve">чтено предложение Палаты о дополнении </w:t>
      </w:r>
      <w:r w:rsidRPr="007032E5">
        <w:rPr>
          <w:rFonts w:ascii="Times New Roman" w:eastAsia="Calibri" w:hAnsi="Times New Roman" w:cs="Times New Roman"/>
          <w:sz w:val="28"/>
          <w:szCs w:val="28"/>
        </w:rPr>
        <w:t xml:space="preserve">перечня грубых нарушений требований к организации и осуществлению государственного контроля (надзора) и муниципального контроля таким нарушением, как  неиспользование проверочных листов, в случаях, когда их обязательное использование предусмотрено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контроля. С точки зрения Палаты такое положение не позволит контролирующим </w:t>
      </w:r>
      <w:r w:rsidRPr="007032E5">
        <w:rPr>
          <w:rFonts w:ascii="Times New Roman" w:eastAsia="Calibri" w:hAnsi="Times New Roman" w:cs="Times New Roman"/>
          <w:sz w:val="28"/>
          <w:szCs w:val="28"/>
        </w:rPr>
        <w:lastRenderedPageBreak/>
        <w:t>органам уклониться от использования проверочных листов и повысит уровень защищенности работодателей при проведении контрольных мероприятий.</w:t>
      </w:r>
    </w:p>
    <w:p w:rsidR="007032E5" w:rsidRDefault="007032E5" w:rsidP="007032E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E5">
        <w:rPr>
          <w:rFonts w:ascii="Times New Roman" w:eastAsia="Calibri" w:hAnsi="Times New Roman" w:cs="Times New Roman"/>
          <w:sz w:val="28"/>
          <w:szCs w:val="28"/>
        </w:rPr>
        <w:t xml:space="preserve">Кроме того, ТПП России в очередной раз обратила внимание разработчиков законопроекта на недопустимость закрепления открытого перечня оснований для проведения внеплановой проверки, поскольку это может снизить законодательные гарантии прав подконтрольных субъектов. Данное замечание </w:t>
      </w:r>
      <w:r w:rsidR="00851203">
        <w:rPr>
          <w:rFonts w:ascii="Times New Roman" w:eastAsia="Calibri" w:hAnsi="Times New Roman" w:cs="Times New Roman"/>
          <w:sz w:val="28"/>
          <w:szCs w:val="28"/>
        </w:rPr>
        <w:t>по состоянию на сегодня не было учтено разработчиками проекта</w:t>
      </w:r>
      <w:r w:rsidR="004C3272">
        <w:rPr>
          <w:rFonts w:ascii="Times New Roman" w:eastAsia="Calibri" w:hAnsi="Times New Roman" w:cs="Times New Roman"/>
          <w:sz w:val="28"/>
          <w:szCs w:val="28"/>
        </w:rPr>
        <w:t>,</w:t>
      </w:r>
      <w:r w:rsidR="0085120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851203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="00851203">
        <w:rPr>
          <w:rFonts w:ascii="Times New Roman" w:eastAsia="Calibri" w:hAnsi="Times New Roman" w:cs="Times New Roman"/>
          <w:sz w:val="28"/>
          <w:szCs w:val="28"/>
        </w:rPr>
        <w:t xml:space="preserve"> с чем окончательно он согласован Палатой не был.</w:t>
      </w:r>
    </w:p>
    <w:p w:rsidR="00356606" w:rsidRPr="007032E5" w:rsidRDefault="00356606" w:rsidP="0035660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C6F" w:rsidRPr="00F7058B" w:rsidRDefault="00023C6F" w:rsidP="00023C6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05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Защита добросовестных предпри</w:t>
      </w:r>
      <w:r w:rsidR="00D62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нимателей значительно повысится</w:t>
      </w:r>
      <w:r w:rsidRPr="00F705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295DEC" w:rsidRDefault="00356606" w:rsidP="003566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Президентом РФ </w:t>
      </w:r>
      <w:r w:rsidR="009C0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В.В. Путиным 19 декабря 2016 года подписан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</w:t>
      </w:r>
      <w:r w:rsidR="009C0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436 </w:t>
      </w:r>
      <w:r w:rsidR="00023C6F" w:rsidRPr="00023C6F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статью 299 Уголовного кодекса Российской Федерации и статью 151 Уголовно-процессуальног</w:t>
      </w:r>
      <w:r w:rsidR="00851203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Федерации».</w:t>
      </w:r>
    </w:p>
    <w:p w:rsidR="00023C6F" w:rsidRPr="00F7058B" w:rsidRDefault="00851203" w:rsidP="00023C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023C6F" w:rsidRPr="00F7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 на усиление ответственности должностных лиц правоохранительных органов за совершение действий, повлекших необоснованное уголовное преследование предпринимателей и прекращение ими хозяйственной деятельности.</w:t>
      </w:r>
    </w:p>
    <w:p w:rsidR="00023C6F" w:rsidRPr="00F7058B" w:rsidRDefault="00023C6F" w:rsidP="00023C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58B">
        <w:rPr>
          <w:rFonts w:ascii="Times New Roman" w:eastAsia="Calibri" w:hAnsi="Times New Roman" w:cs="Times New Roman"/>
          <w:sz w:val="28"/>
          <w:szCs w:val="28"/>
          <w:lang w:eastAsia="ru-RU"/>
        </w:rPr>
        <w:t>Закон увеличивает сроки лишения свободы: за привлечение заведомо невиновного к уголовной ответственности с 5 до 7 лет; за аналогичное деяние, повлекшее причинение крупного ущерба или иные тяжкие последствия - повышается нижний предел санкции с 3 до 5 лет лишения свободы; за незаконное возбуждение уголовного дела в целях воспрепятствования предпринимательской деятельности из корыстной или иной личной заинтересованности, которое повлекло прекращение предпринимательской деятельности либо причинение крупного ущерба  предусмотрено лишение свободы на срок от 5 до 10 лет. Крупным ущербом теперь является сумма, превышающая 1 млн. 500 тыс. рублей.</w:t>
      </w:r>
    </w:p>
    <w:p w:rsidR="009C0C2D" w:rsidRDefault="00023C6F" w:rsidP="00023C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58B">
        <w:rPr>
          <w:rFonts w:ascii="Times New Roman" w:eastAsia="Calibri" w:hAnsi="Times New Roman" w:cs="Times New Roman"/>
          <w:sz w:val="28"/>
          <w:szCs w:val="28"/>
          <w:lang w:eastAsia="ru-RU"/>
        </w:rPr>
        <w:t>Новая редакция статьи 299 УК РФ оградит бизнес от произвола силовых структур, действия, которых преследуют корыстную цель и направлены на то, чтобы помешать правомерной коммерческой деятельности предпринимателей.</w:t>
      </w:r>
    </w:p>
    <w:p w:rsidR="00023C6F" w:rsidRPr="00F7058B" w:rsidRDefault="00356606" w:rsidP="00023C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 поддержан ТПП России.</w:t>
      </w:r>
    </w:p>
    <w:p w:rsidR="00023C6F" w:rsidRDefault="00023C6F" w:rsidP="007032E5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2D" w:rsidRDefault="009C0C2D" w:rsidP="007032E5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малого бизнеса разработаны новые требования к наружной рекламе</w:t>
      </w:r>
    </w:p>
    <w:p w:rsidR="007032E5" w:rsidRPr="007032E5" w:rsidRDefault="007032E5" w:rsidP="007032E5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2E5" w:rsidRPr="007032E5" w:rsidRDefault="007032E5" w:rsidP="0083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2 ноября Правительством РФ в Государственную Думу внесен проект федерального закона № 18549-7 «О внесении изменений в статью 19 Федерального закона «О рекламе» и Кодекс Российской Федерации об административных правонарушениях (в части наружной рекламы)». </w:t>
      </w:r>
    </w:p>
    <w:p w:rsidR="007032E5" w:rsidRPr="007032E5" w:rsidRDefault="007032E5" w:rsidP="00836A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2E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Законопроектом предлагается внести изменения </w:t>
      </w:r>
      <w:r w:rsidRPr="00703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Федеральный закон </w:t>
      </w:r>
      <w:r w:rsidR="006F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03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рекламе», предусматривающие требования к порядку распространения наружной рекламы, заключения договоров на установку и эксплуатацию </w:t>
      </w:r>
      <w:r w:rsidRPr="007032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рекламных конструкций в целях поддержки субъектов малого и среднего предпринимательства.</w:t>
      </w:r>
    </w:p>
    <w:p w:rsidR="007032E5" w:rsidRPr="007032E5" w:rsidRDefault="007032E5" w:rsidP="0083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ТПП России в целом принятие указанного законопроекта</w:t>
      </w:r>
      <w:r w:rsidR="006F4CF1">
        <w:rPr>
          <w:rFonts w:ascii="Times New Roman" w:hAnsi="Times New Roman" w:cs="Times New Roman"/>
          <w:sz w:val="28"/>
          <w:szCs w:val="28"/>
        </w:rPr>
        <w:t xml:space="preserve"> поддерживает</w:t>
      </w:r>
      <w:r w:rsidRPr="007032E5">
        <w:rPr>
          <w:rFonts w:ascii="Times New Roman" w:hAnsi="Times New Roman" w:cs="Times New Roman"/>
          <w:sz w:val="28"/>
          <w:szCs w:val="28"/>
        </w:rPr>
        <w:t>.</w:t>
      </w:r>
    </w:p>
    <w:p w:rsidR="007032E5" w:rsidRPr="00851203" w:rsidRDefault="007032E5" w:rsidP="008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Вместе с тем, ряд положений законопроекта должен быть доработан к первому чтению.</w:t>
      </w:r>
      <w:r w:rsidR="00851203">
        <w:rPr>
          <w:rFonts w:ascii="Times New Roman" w:hAnsi="Times New Roman" w:cs="Times New Roman"/>
          <w:sz w:val="28"/>
          <w:szCs w:val="28"/>
        </w:rPr>
        <w:t xml:space="preserve"> </w:t>
      </w:r>
      <w:r w:rsidRPr="0070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 положения законопроекта относительно раскрытия информации после проведенных торгов, по </w:t>
      </w:r>
      <w:r w:rsidR="005E4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 Палаты</w:t>
      </w:r>
      <w:r w:rsidRPr="0070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излишними. В частности, предполагается опубликование информации о выданных разрешениях (п. 10 ст. 1 законопроекта) и заключенных на торгах договорах (п. 5 ст. 1 законопроекта). Следует учитывать, что договоры на торгах заключаются только по форме, предусмотренной в документации, а разрешения выдаются только в отношении мест, указанных в схемах размещения и только с лицами, являющимися победителями торгов. Информация о победителях торгов должна размещаться в том же источнике, где и информация о проведении торгов. </w:t>
      </w:r>
    </w:p>
    <w:p w:rsidR="007032E5" w:rsidRPr="007032E5" w:rsidRDefault="007032E5" w:rsidP="00836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общедоступности выданных разрешений и подписанных договоров является излишним финансовым и административным обременением для участников торгов. </w:t>
      </w:r>
    </w:p>
    <w:p w:rsidR="007032E5" w:rsidRPr="007032E5" w:rsidRDefault="007032E5" w:rsidP="00851203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законопроект содержит положение, согласно которому «лицо, намеревающееся принять участие в торгах в сфере наружной рекламы, обязано до даты их проведения осуществить раскрытие информации о своих аффилированных лицах в порядке, установленном Правительством Российской Федерации».</w:t>
      </w:r>
      <w:r w:rsidR="0085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требование целесообразно конкретизировать и закрепить объем и содержание информации, которая должна быть предоставлена. Представляется, что не все хозяйствующие субъекты имеют возможность представить информацию вплоть до конечных бенефициаров.</w:t>
      </w:r>
    </w:p>
    <w:p w:rsidR="00D927DD" w:rsidRDefault="00D927DD" w:rsidP="006F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2E5" w:rsidRPr="007032E5" w:rsidRDefault="00356606" w:rsidP="00356606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032E5" w:rsidRPr="0070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осконтракты</w:t>
      </w:r>
      <w:proofErr w:type="spellEnd"/>
      <w:r w:rsidR="007032E5" w:rsidRPr="0070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малым бизнесом должны оплачиваться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быстрее</w:t>
      </w:r>
    </w:p>
    <w:p w:rsidR="007032E5" w:rsidRPr="007032E5" w:rsidRDefault="007032E5" w:rsidP="007032E5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2E5" w:rsidRPr="007032E5" w:rsidRDefault="007032E5" w:rsidP="00703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6F4CF1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9C53D6">
        <w:rPr>
          <w:rFonts w:ascii="Times New Roman" w:hAnsi="Times New Roman" w:cs="Times New Roman"/>
          <w:sz w:val="28"/>
          <w:szCs w:val="28"/>
        </w:rPr>
        <w:t xml:space="preserve">Госдумой </w:t>
      </w:r>
      <w:r w:rsidRPr="007032E5">
        <w:rPr>
          <w:rFonts w:ascii="Times New Roman" w:hAnsi="Times New Roman" w:cs="Times New Roman"/>
          <w:sz w:val="28"/>
          <w:szCs w:val="28"/>
        </w:rPr>
        <w:t xml:space="preserve">в первом чтении принят </w:t>
      </w:r>
      <w:r w:rsidR="006F4CF1">
        <w:rPr>
          <w:rFonts w:ascii="Times New Roman" w:hAnsi="Times New Roman" w:cs="Times New Roman"/>
          <w:sz w:val="28"/>
          <w:szCs w:val="28"/>
        </w:rPr>
        <w:t xml:space="preserve">правительственный проект федерального закона </w:t>
      </w:r>
      <w:r w:rsidRPr="007032E5">
        <w:rPr>
          <w:rFonts w:ascii="Times New Roman" w:hAnsi="Times New Roman" w:cs="Times New Roman"/>
          <w:sz w:val="28"/>
          <w:szCs w:val="28"/>
        </w:rPr>
        <w:t>№ 1155546-6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7032E5" w:rsidRPr="007032E5" w:rsidRDefault="007032E5" w:rsidP="009C53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 установление обязательного условия об оплате заказчиком поставленного товара, выполненной работы, оказанной услуги, отдельных этапов исполнения контракта в течение 30 дней </w:t>
      </w:r>
      <w:proofErr w:type="gramStart"/>
      <w:r w:rsidRPr="007032E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032E5">
        <w:rPr>
          <w:rFonts w:ascii="Times New Roman" w:hAnsi="Times New Roman" w:cs="Times New Roman"/>
          <w:sz w:val="28"/>
          <w:szCs w:val="28"/>
        </w:rPr>
        <w:t xml:space="preserve"> документа о приемке товара (работ, услуг). Данное условие согласно законопроекту распространяется на все категории поставщиков (подрядчиков, исполнителей).</w:t>
      </w:r>
      <w:r w:rsidR="009C53D6">
        <w:rPr>
          <w:rFonts w:ascii="Times New Roman" w:hAnsi="Times New Roman" w:cs="Times New Roman"/>
          <w:sz w:val="28"/>
          <w:szCs w:val="28"/>
        </w:rPr>
        <w:t xml:space="preserve"> </w:t>
      </w:r>
      <w:r w:rsidRPr="00976A6A">
        <w:rPr>
          <w:rFonts w:ascii="Times New Roman" w:hAnsi="Times New Roman" w:cs="Times New Roman"/>
          <w:sz w:val="28"/>
          <w:szCs w:val="28"/>
          <w:u w:val="single"/>
        </w:rPr>
        <w:t>ТПП России инициировала поправки ко второму чтению</w:t>
      </w:r>
      <w:r w:rsidRPr="007032E5">
        <w:rPr>
          <w:rFonts w:ascii="Times New Roman" w:hAnsi="Times New Roman" w:cs="Times New Roman"/>
          <w:sz w:val="28"/>
          <w:szCs w:val="28"/>
        </w:rPr>
        <w:t>, которыми предлагается установить 10-дневный сокращенный срок оплаты товаров (работ, услуг) по контракту для поставщиков (подрядчиков, исполнителей), являющихся субъектам малого и среднего предпринимательства и социально ориентированными некоммерческими организациями.</w:t>
      </w:r>
    </w:p>
    <w:p w:rsidR="006F4CF1" w:rsidRDefault="007032E5" w:rsidP="009C53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Общий экономический спад, а также секвестирование бюджетов всех уровней приводит к нарушениям исполнения обязательств со стороны заказчиков, </w:t>
      </w:r>
      <w:r w:rsidRPr="007032E5">
        <w:rPr>
          <w:rFonts w:ascii="Times New Roman" w:hAnsi="Times New Roman" w:cs="Times New Roman"/>
          <w:sz w:val="28"/>
          <w:szCs w:val="28"/>
        </w:rPr>
        <w:lastRenderedPageBreak/>
        <w:t>выражающи</w:t>
      </w:r>
      <w:r w:rsidR="005E4EFA">
        <w:rPr>
          <w:rFonts w:ascii="Times New Roman" w:hAnsi="Times New Roman" w:cs="Times New Roman"/>
          <w:sz w:val="28"/>
          <w:szCs w:val="28"/>
        </w:rPr>
        <w:t>м</w:t>
      </w:r>
      <w:r w:rsidRPr="007032E5">
        <w:rPr>
          <w:rFonts w:ascii="Times New Roman" w:hAnsi="Times New Roman" w:cs="Times New Roman"/>
          <w:sz w:val="28"/>
          <w:szCs w:val="28"/>
        </w:rPr>
        <w:t xml:space="preserve">ся в задержке оплаты выполненных работ. В настоящий момент </w:t>
      </w:r>
      <w:r w:rsidR="006F4CF1">
        <w:rPr>
          <w:rFonts w:ascii="Times New Roman" w:hAnsi="Times New Roman" w:cs="Times New Roman"/>
          <w:sz w:val="28"/>
          <w:szCs w:val="28"/>
        </w:rPr>
        <w:t>и</w:t>
      </w:r>
      <w:r w:rsidRPr="007032E5">
        <w:rPr>
          <w:rFonts w:ascii="Times New Roman" w:hAnsi="Times New Roman" w:cs="Times New Roman"/>
          <w:sz w:val="28"/>
          <w:szCs w:val="28"/>
        </w:rPr>
        <w:t>меют место длительные просрочки оплаты, а также случаи неоплаты контрактов.</w:t>
      </w:r>
    </w:p>
    <w:p w:rsidR="007032E5" w:rsidRPr="007032E5" w:rsidRDefault="007032E5" w:rsidP="009C53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Особенно уязвимы в сложившейся ситуации субъекты малого предпринимательства, а также социально ориентированные некоммерческие организации, которые добросовестно исполняют свои договорные обязательства, но не имеют возможности ждать поступления денежных сре</w:t>
      </w:r>
      <w:proofErr w:type="gramStart"/>
      <w:r w:rsidRPr="007032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032E5">
        <w:rPr>
          <w:rFonts w:ascii="Times New Roman" w:hAnsi="Times New Roman" w:cs="Times New Roman"/>
          <w:sz w:val="28"/>
          <w:szCs w:val="28"/>
        </w:rPr>
        <w:t>ительное время, так как у них отсутствуют материальные резервы, позволяющие осуществлять текущую хозяйственную деятельность в штатном режиме. При этом зачастую отсутствие оборотных средств ведет к задержкам выплаты заработной платы и прочим негативным последствиям. Принятие предлагаемых Палатой поправок будет способствовать развитию субъектов малого предпринимательства и социально-ориентированных некоммерческих организаций, укреплению их материальной стабильности, а также увеличению оборотного капитала предприятий.</w:t>
      </w:r>
    </w:p>
    <w:p w:rsidR="007032E5" w:rsidRPr="009C53D6" w:rsidRDefault="007032E5" w:rsidP="009C53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Рассмотрение законопроекта во втором чтении перенесено на весеннюю сессию 2017 года. </w:t>
      </w:r>
    </w:p>
    <w:p w:rsidR="00851203" w:rsidRDefault="00851203" w:rsidP="007032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5" w:rsidRPr="007032E5" w:rsidRDefault="007032E5" w:rsidP="007032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E5">
        <w:rPr>
          <w:rFonts w:ascii="Times New Roman" w:hAnsi="Times New Roman" w:cs="Times New Roman"/>
          <w:b/>
          <w:sz w:val="28"/>
          <w:szCs w:val="28"/>
        </w:rPr>
        <w:t>Палата предлагает уточнить сроки и форму отказ</w:t>
      </w:r>
      <w:r w:rsidR="00836A70">
        <w:rPr>
          <w:rFonts w:ascii="Times New Roman" w:hAnsi="Times New Roman" w:cs="Times New Roman"/>
          <w:b/>
          <w:sz w:val="28"/>
          <w:szCs w:val="28"/>
        </w:rPr>
        <w:t>а банка в осуществлении валютных</w:t>
      </w:r>
      <w:r w:rsidRPr="007032E5">
        <w:rPr>
          <w:rFonts w:ascii="Times New Roman" w:hAnsi="Times New Roman" w:cs="Times New Roman"/>
          <w:b/>
          <w:sz w:val="28"/>
          <w:szCs w:val="28"/>
        </w:rPr>
        <w:t xml:space="preserve"> операций</w:t>
      </w:r>
    </w:p>
    <w:p w:rsidR="007032E5" w:rsidRPr="007032E5" w:rsidRDefault="007032E5" w:rsidP="00703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E5" w:rsidRPr="007032E5" w:rsidRDefault="007032E5" w:rsidP="00703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6F4CF1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9C53D6">
        <w:rPr>
          <w:rFonts w:ascii="Times New Roman" w:hAnsi="Times New Roman" w:cs="Times New Roman"/>
          <w:sz w:val="28"/>
          <w:szCs w:val="28"/>
        </w:rPr>
        <w:t xml:space="preserve">Госдумой </w:t>
      </w:r>
      <w:r w:rsidRPr="007032E5">
        <w:rPr>
          <w:rFonts w:ascii="Times New Roman" w:hAnsi="Times New Roman" w:cs="Times New Roman"/>
          <w:sz w:val="28"/>
          <w:szCs w:val="28"/>
        </w:rPr>
        <w:t xml:space="preserve">в первом чтении принят проект федерального закона </w:t>
      </w:r>
      <w:r w:rsidR="009C53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32E5">
        <w:rPr>
          <w:rFonts w:ascii="Times New Roman" w:hAnsi="Times New Roman" w:cs="Times New Roman"/>
          <w:sz w:val="28"/>
          <w:szCs w:val="28"/>
        </w:rPr>
        <w:t xml:space="preserve">№ 1166026-6 «О внесении изменений в статью 23 Федерального закона </w:t>
      </w:r>
      <w:r w:rsidR="00836A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2E5">
        <w:rPr>
          <w:rFonts w:ascii="Times New Roman" w:hAnsi="Times New Roman" w:cs="Times New Roman"/>
          <w:sz w:val="28"/>
          <w:szCs w:val="28"/>
        </w:rPr>
        <w:t>«О валютном регулировании и валютном контроле» и Кодекс Российской Федерации об административных правонарушениях».</w:t>
      </w:r>
    </w:p>
    <w:p w:rsidR="007032E5" w:rsidRPr="007032E5" w:rsidRDefault="007032E5" w:rsidP="00703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право уполномоченного банка отказать в осуществлении валютной операции, если она противоречит требованиям валютного законодательства Российской Федерации, со ссылкой на соответствующее положение </w:t>
      </w:r>
      <w:r w:rsidR="005E4EF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7032E5">
        <w:rPr>
          <w:rFonts w:ascii="Times New Roman" w:hAnsi="Times New Roman" w:cs="Times New Roman"/>
          <w:sz w:val="28"/>
          <w:szCs w:val="28"/>
        </w:rPr>
        <w:t xml:space="preserve">акта, которому осуществление такой операции противоречит (абзац 4 части 5 статьи 23 Закона о валютном регулировании в редакции законопроекта). </w:t>
      </w:r>
    </w:p>
    <w:p w:rsidR="007032E5" w:rsidRPr="007032E5" w:rsidRDefault="007032E5" w:rsidP="00703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При этом в проекте не определено, в какой форме и в какие сроки должен быть оформлен такой отказ.</w:t>
      </w:r>
    </w:p>
    <w:p w:rsidR="007032E5" w:rsidRPr="007032E5" w:rsidRDefault="007032E5" w:rsidP="00851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6A">
        <w:rPr>
          <w:rFonts w:ascii="Times New Roman" w:hAnsi="Times New Roman" w:cs="Times New Roman"/>
          <w:sz w:val="28"/>
          <w:szCs w:val="28"/>
          <w:u w:val="single"/>
        </w:rPr>
        <w:t>ТПП России инициировала поправки</w:t>
      </w:r>
      <w:r w:rsidRPr="007032E5">
        <w:rPr>
          <w:rFonts w:ascii="Times New Roman" w:hAnsi="Times New Roman" w:cs="Times New Roman"/>
          <w:sz w:val="28"/>
          <w:szCs w:val="28"/>
        </w:rPr>
        <w:t xml:space="preserve"> ко второму чтению, которыми предлагается конкретизировать положения законопроекта в части формы и сроков направления отказа. В частности, Палата </w:t>
      </w:r>
      <w:r w:rsidR="005E4EFA">
        <w:rPr>
          <w:rFonts w:ascii="Times New Roman" w:hAnsi="Times New Roman" w:cs="Times New Roman"/>
          <w:sz w:val="28"/>
          <w:szCs w:val="28"/>
        </w:rPr>
        <w:t>предложила закрепить положение, согласно которому</w:t>
      </w:r>
      <w:r w:rsidRPr="007032E5">
        <w:rPr>
          <w:rFonts w:ascii="Times New Roman" w:hAnsi="Times New Roman" w:cs="Times New Roman"/>
          <w:sz w:val="28"/>
          <w:szCs w:val="28"/>
        </w:rPr>
        <w:t xml:space="preserve"> решение об отказе в осуществлении валютной операции должно быть направлено уполномоченным банком в письменной форме не позднее рабочего дня, следующего за днем вынесения такого решения.</w:t>
      </w:r>
      <w:r w:rsidR="00851203">
        <w:rPr>
          <w:rFonts w:ascii="Times New Roman" w:hAnsi="Times New Roman" w:cs="Times New Roman"/>
          <w:sz w:val="28"/>
          <w:szCs w:val="28"/>
        </w:rPr>
        <w:t xml:space="preserve"> </w:t>
      </w:r>
      <w:r w:rsidRPr="007032E5">
        <w:rPr>
          <w:rFonts w:ascii="Times New Roman" w:hAnsi="Times New Roman" w:cs="Times New Roman"/>
          <w:sz w:val="28"/>
          <w:szCs w:val="28"/>
        </w:rPr>
        <w:t xml:space="preserve">Такое уточнение позволит снизить риски в деятельности организаций, в частности, экспортеров, участвующих в осуществлении валютных операций, </w:t>
      </w:r>
      <w:r w:rsidR="005E4E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32E5">
        <w:rPr>
          <w:rFonts w:ascii="Times New Roman" w:hAnsi="Times New Roman" w:cs="Times New Roman"/>
          <w:sz w:val="28"/>
          <w:szCs w:val="28"/>
        </w:rPr>
        <w:t xml:space="preserve">оперативно реагировать на ситуацию и </w:t>
      </w:r>
      <w:r w:rsidR="005E4EFA">
        <w:rPr>
          <w:rFonts w:ascii="Times New Roman" w:hAnsi="Times New Roman" w:cs="Times New Roman"/>
          <w:sz w:val="28"/>
          <w:szCs w:val="28"/>
        </w:rPr>
        <w:t xml:space="preserve">более эффективно </w:t>
      </w:r>
      <w:r w:rsidRPr="007032E5">
        <w:rPr>
          <w:rFonts w:ascii="Times New Roman" w:hAnsi="Times New Roman" w:cs="Times New Roman"/>
          <w:sz w:val="28"/>
          <w:szCs w:val="28"/>
        </w:rPr>
        <w:t>планировать свою деятельность.</w:t>
      </w:r>
    </w:p>
    <w:p w:rsidR="007032E5" w:rsidRPr="007032E5" w:rsidRDefault="007032E5" w:rsidP="00703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Рассмотрение проекта во втором чтении перенесено на весеннюю сессию 2017 года.</w:t>
      </w:r>
    </w:p>
    <w:p w:rsidR="00F7058B" w:rsidRPr="00F7058B" w:rsidRDefault="00F7058B" w:rsidP="00565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650" w:rsidRPr="00F7058B" w:rsidRDefault="00931F5B" w:rsidP="0071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E6650" w:rsidRPr="00F7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егионы смогут отложить на 2 года переход на новую систему обращения с твердыми коммунальными отходами</w:t>
      </w:r>
    </w:p>
    <w:p w:rsidR="005E6650" w:rsidRPr="00F7058B" w:rsidRDefault="005E6650" w:rsidP="0071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A70" w:rsidRDefault="005E6650" w:rsidP="007158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декабря </w:t>
      </w:r>
      <w:r w:rsidR="006F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</w:t>
      </w:r>
      <w:r w:rsidRPr="00F7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Думой принят Федеральный закон</w:t>
      </w:r>
      <w:r w:rsidRPr="00F7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внесении изменений в отдельные законодательные акты Российской Федерации», предусматривающий </w:t>
      </w:r>
      <w:r w:rsidR="006F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поэтапный запуск</w:t>
      </w:r>
      <w:r w:rsidRPr="00F7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 1 января 2019 года) </w:t>
      </w:r>
      <w:r w:rsidRPr="00F7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новой системы обращения с твердыми коммунальными отходами в субъектах Российской Федерации. </w:t>
      </w:r>
    </w:p>
    <w:p w:rsidR="005E6650" w:rsidRPr="00F7058B" w:rsidRDefault="005E6650" w:rsidP="007158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Новая система обращения с твердыми коммунальными отходами предусматривает передачу </w:t>
      </w:r>
      <w:r w:rsidRPr="00F7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обращения с ними на договорной основе региональным операторам, определяемым на конкурсной основе сроком на 10 лет. </w:t>
      </w:r>
      <w:r w:rsidRPr="00F7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плату за негативное воздействие на окружающую среду при размещении твердых коммунальных отходов будут учитываться при установлении тарифов для оператора по обращению с твердыми коммунальными отходами</w:t>
      </w:r>
      <w:r w:rsidRPr="00F70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 привести к росту тарифов на эти услуги.</w:t>
      </w:r>
    </w:p>
    <w:p w:rsidR="00976A6A" w:rsidRDefault="005E6650" w:rsidP="007158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принятии Закона </w:t>
      </w:r>
      <w:r w:rsidRPr="00836A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соответствии с замечаниями ТПП РФ</w:t>
      </w:r>
      <w:r w:rsidRPr="00F7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исключены положения, согласно которым после перехода на новую систему плательщиками платы за негативное воздействие на окружающую среду при захоронении твердых коммунальных отходов предлагалось считать не региональных операторов по обращению с отходами, а полигоны, на которых эти отходы размещаются. </w:t>
      </w:r>
    </w:p>
    <w:p w:rsidR="00D927DD" w:rsidRPr="00F7058B" w:rsidRDefault="00D927DD" w:rsidP="005653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C87" w:rsidRPr="00F7058B" w:rsidRDefault="00E87C87" w:rsidP="007158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8B">
        <w:rPr>
          <w:rFonts w:ascii="Times New Roman" w:hAnsi="Times New Roman" w:cs="Times New Roman"/>
          <w:b/>
          <w:sz w:val="28"/>
          <w:szCs w:val="28"/>
        </w:rPr>
        <w:t>Дан старт Х юбилейному Международному форуму</w:t>
      </w:r>
    </w:p>
    <w:p w:rsidR="00E87C87" w:rsidRPr="00F7058B" w:rsidRDefault="00E87C87" w:rsidP="007158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8B">
        <w:rPr>
          <w:rFonts w:ascii="Times New Roman" w:hAnsi="Times New Roman" w:cs="Times New Roman"/>
          <w:b/>
          <w:sz w:val="28"/>
          <w:szCs w:val="28"/>
        </w:rPr>
        <w:t>«Интеллектуальная собственность – XXI век»</w:t>
      </w:r>
    </w:p>
    <w:p w:rsidR="00E87C87" w:rsidRPr="00F7058B" w:rsidRDefault="00E87C87" w:rsidP="007158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C87" w:rsidRPr="00F7058B" w:rsidRDefault="00E87C87" w:rsidP="00715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 21 декабря 2016 года в Торгово-промышленной палате Российской Федерации состоялось совместное заседание Организационного комитета           </w:t>
      </w:r>
      <w:r w:rsidR="005653CB">
        <w:rPr>
          <w:rFonts w:ascii="Times New Roman" w:hAnsi="Times New Roman" w:cs="Times New Roman"/>
          <w:sz w:val="28"/>
          <w:szCs w:val="28"/>
        </w:rPr>
        <w:t xml:space="preserve">   </w:t>
      </w:r>
      <w:r w:rsidRPr="00F7058B">
        <w:rPr>
          <w:rFonts w:ascii="Times New Roman" w:hAnsi="Times New Roman" w:cs="Times New Roman"/>
          <w:sz w:val="28"/>
          <w:szCs w:val="28"/>
        </w:rPr>
        <w:t xml:space="preserve">Х Международного форума «Интеллектуальная собственность – XXI век» и Совета ТПП РФ по интеллектуальной собственности. </w:t>
      </w:r>
    </w:p>
    <w:p w:rsidR="00E87C87" w:rsidRPr="00F7058B" w:rsidRDefault="00E87C87" w:rsidP="00715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В нем приняли участие Вице-п</w:t>
      </w:r>
      <w:r w:rsidR="006F4CF1">
        <w:rPr>
          <w:rFonts w:ascii="Times New Roman" w:hAnsi="Times New Roman" w:cs="Times New Roman"/>
          <w:sz w:val="28"/>
          <w:szCs w:val="28"/>
        </w:rPr>
        <w:t>резидент ТПП РФ Вадим Чубаров, П</w:t>
      </w:r>
      <w:r w:rsidRPr="00F7058B">
        <w:rPr>
          <w:rFonts w:ascii="Times New Roman" w:hAnsi="Times New Roman" w:cs="Times New Roman"/>
          <w:sz w:val="28"/>
          <w:szCs w:val="28"/>
        </w:rPr>
        <w:t xml:space="preserve">редседатель Совета ТПП РФ по интеллектуальной собственности Иван Близнец, Заместитель руководителя Федеральной службы по интеллектуальной собственности Михаил </w:t>
      </w:r>
      <w:proofErr w:type="spellStart"/>
      <w:r w:rsidRPr="00F7058B">
        <w:rPr>
          <w:rFonts w:ascii="Times New Roman" w:hAnsi="Times New Roman" w:cs="Times New Roman"/>
          <w:sz w:val="28"/>
          <w:szCs w:val="28"/>
        </w:rPr>
        <w:t>Жамойдик</w:t>
      </w:r>
      <w:proofErr w:type="spellEnd"/>
      <w:r w:rsidRPr="00F7058B">
        <w:rPr>
          <w:rFonts w:ascii="Times New Roman" w:hAnsi="Times New Roman" w:cs="Times New Roman"/>
          <w:sz w:val="28"/>
          <w:szCs w:val="28"/>
        </w:rPr>
        <w:t xml:space="preserve">, Директор  Представительства ВОИС в Российской Федерации Александр Бавыкин, Вице-президент Евразийского патентного ведомства </w:t>
      </w:r>
      <w:proofErr w:type="spellStart"/>
      <w:r w:rsidRPr="00F7058B">
        <w:rPr>
          <w:rFonts w:ascii="Times New Roman" w:hAnsi="Times New Roman" w:cs="Times New Roman"/>
          <w:sz w:val="28"/>
          <w:szCs w:val="28"/>
        </w:rPr>
        <w:t>Хабибулло</w:t>
      </w:r>
      <w:proofErr w:type="spellEnd"/>
      <w:r w:rsidRPr="00F7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8B">
        <w:rPr>
          <w:rFonts w:ascii="Times New Roman" w:hAnsi="Times New Roman" w:cs="Times New Roman"/>
          <w:sz w:val="28"/>
          <w:szCs w:val="28"/>
        </w:rPr>
        <w:t>Фаязов</w:t>
      </w:r>
      <w:proofErr w:type="spellEnd"/>
      <w:r w:rsidR="006F4CF1">
        <w:rPr>
          <w:rFonts w:ascii="Times New Roman" w:hAnsi="Times New Roman" w:cs="Times New Roman"/>
          <w:sz w:val="28"/>
          <w:szCs w:val="28"/>
        </w:rPr>
        <w:t>, Директор Департамента законотворческой деятельности Д.Е. Фадеев</w:t>
      </w:r>
      <w:r w:rsidRPr="00F7058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87C87" w:rsidRPr="00F7058B" w:rsidRDefault="00E87C87" w:rsidP="00715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Вице-президент Вадим Чубаров, открывая заседание, напомнил, что в ходе </w:t>
      </w:r>
      <w:proofErr w:type="gramStart"/>
      <w:r w:rsidRPr="00F7058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058B">
        <w:rPr>
          <w:rFonts w:ascii="Times New Roman" w:hAnsi="Times New Roman" w:cs="Times New Roman"/>
          <w:sz w:val="28"/>
          <w:szCs w:val="28"/>
        </w:rPr>
        <w:t xml:space="preserve">Х Международного форума «Интеллектуальная собственность - ХХІ век» в апреле 2016 года было проведено 18 тематических секций. Из них 15 мероприятий на площадках Палаты. </w:t>
      </w:r>
    </w:p>
    <w:p w:rsidR="00E87C87" w:rsidRPr="00F7058B" w:rsidRDefault="00E87C87" w:rsidP="00715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Вадим Чубаров отметил, что по итогам Форума-2016 предприниматели были обеспокоены многочисленными проблемами, возникающими в процессе коммерциализации результатов интеллектуальной деятельности. Участников </w:t>
      </w:r>
      <w:r w:rsidRPr="00F7058B">
        <w:rPr>
          <w:rFonts w:ascii="Times New Roman" w:hAnsi="Times New Roman" w:cs="Times New Roman"/>
          <w:sz w:val="28"/>
          <w:szCs w:val="28"/>
        </w:rPr>
        <w:lastRenderedPageBreak/>
        <w:t xml:space="preserve">Форума, прежде всего, интересовали вопросы практического использования прав на результаты интеллектуальной деятельности.  </w:t>
      </w:r>
    </w:p>
    <w:p w:rsidR="00E87C87" w:rsidRPr="00F7058B" w:rsidRDefault="00E87C87" w:rsidP="00715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Участники поддержали предложение Вице-президента ТПП РФ провести Форум в период с 25 по 28 апреля 2017 года. Кроме того, Вадим Чубаров особо подчеркнул, необходимость  тщательного отбора тематических секционных мероприятий: «Темы, которые планируется обсудить в ходе этих заседаний, должны действительно интересовать российских правообладателей и предпринимателей.  Кроме того, результатами обсуждения этих проблем должны стать конкретные предложения по совершенствованию правовой базы в сфере интеллектуальной собственности, которые будут включены в итоговую резолюцию Форума».</w:t>
      </w:r>
    </w:p>
    <w:p w:rsidR="00E87C87" w:rsidRPr="00F7058B" w:rsidRDefault="00E87C87" w:rsidP="00715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Пленарное заседание Форума запланировано провести в ТПП РФ </w:t>
      </w:r>
      <w:r w:rsidR="006F4CF1" w:rsidRPr="00F7058B">
        <w:rPr>
          <w:rFonts w:ascii="Times New Roman" w:hAnsi="Times New Roman" w:cs="Times New Roman"/>
          <w:sz w:val="28"/>
          <w:szCs w:val="28"/>
        </w:rPr>
        <w:t>в Международный день интеллектуальной собственности</w:t>
      </w:r>
      <w:r w:rsidR="006F4CF1" w:rsidRPr="0085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1203"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F7058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6F4CF1">
        <w:rPr>
          <w:rFonts w:ascii="Times New Roman" w:hAnsi="Times New Roman" w:cs="Times New Roman"/>
          <w:sz w:val="28"/>
          <w:szCs w:val="28"/>
        </w:rPr>
        <w:t xml:space="preserve"> в 10.30 (Конгресс-центр).</w:t>
      </w:r>
    </w:p>
    <w:p w:rsidR="00E87C87" w:rsidRPr="00F7058B" w:rsidRDefault="00E87C87" w:rsidP="00715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>Председатель Совета ТПП РФ по интеллектуальной собственности Иван Близнец отметил, что Форум традицио</w:t>
      </w:r>
      <w:r w:rsidR="00851203">
        <w:rPr>
          <w:rFonts w:ascii="Times New Roman" w:hAnsi="Times New Roman" w:cs="Times New Roman"/>
          <w:sz w:val="28"/>
          <w:szCs w:val="28"/>
        </w:rPr>
        <w:t xml:space="preserve">нно пройдет под эгидой ВОИС, а </w:t>
      </w:r>
      <w:r w:rsidRPr="00F7058B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F7058B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F7058B">
        <w:rPr>
          <w:rFonts w:ascii="Times New Roman" w:hAnsi="Times New Roman" w:cs="Times New Roman"/>
          <w:sz w:val="28"/>
          <w:szCs w:val="28"/>
        </w:rPr>
        <w:t xml:space="preserve"> планируют выступить Совет Федерации, Федеральная служба по интеллектуальной собственности, Евразийское патентное ведомство, Суд по интеллектуальным правам.</w:t>
      </w:r>
    </w:p>
    <w:p w:rsidR="00E87C87" w:rsidRPr="00F7058B" w:rsidRDefault="00E87C87" w:rsidP="00715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Директор Российского бюро ВОИС Александр Бавыкин подтвердил намерение Всемирной организации интеллектуальной собственности поддержать Форум, так как в ходе Форума принимаются решения, направленные на развитие инноваций в целях содействия использованию интеллектуальной собственности в интересах социально-экономического и культурного развития России. </w:t>
      </w:r>
    </w:p>
    <w:p w:rsidR="00E87C87" w:rsidRDefault="00E87C87" w:rsidP="00715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8B">
        <w:rPr>
          <w:rFonts w:ascii="Times New Roman" w:hAnsi="Times New Roman" w:cs="Times New Roman"/>
          <w:sz w:val="28"/>
          <w:szCs w:val="28"/>
        </w:rPr>
        <w:t xml:space="preserve">Участники утвердили новый состав и структуру Совета ТПП РФ по интеллектуальной собственности, </w:t>
      </w:r>
      <w:proofErr w:type="gramStart"/>
      <w:r w:rsidRPr="00F7058B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F7058B">
        <w:rPr>
          <w:rFonts w:ascii="Times New Roman" w:hAnsi="Times New Roman" w:cs="Times New Roman"/>
          <w:sz w:val="28"/>
          <w:szCs w:val="28"/>
        </w:rPr>
        <w:t xml:space="preserve"> о котором было утверждено        </w:t>
      </w:r>
      <w:r w:rsidR="00851203">
        <w:rPr>
          <w:rFonts w:ascii="Times New Roman" w:hAnsi="Times New Roman" w:cs="Times New Roman"/>
          <w:sz w:val="28"/>
          <w:szCs w:val="28"/>
        </w:rPr>
        <w:t xml:space="preserve">    </w:t>
      </w:r>
      <w:r w:rsidRPr="00F7058B">
        <w:rPr>
          <w:rFonts w:ascii="Times New Roman" w:hAnsi="Times New Roman" w:cs="Times New Roman"/>
          <w:sz w:val="28"/>
          <w:szCs w:val="28"/>
        </w:rPr>
        <w:t xml:space="preserve">21 апреля 2016 года Правлением ТПП РФ. </w:t>
      </w:r>
    </w:p>
    <w:p w:rsidR="00C90705" w:rsidRPr="00F7058B" w:rsidRDefault="00C90705" w:rsidP="004C6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4D2" w:rsidRDefault="004654D2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927DD" w:rsidRDefault="00D927DD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A5255" w:rsidRDefault="00CA5255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30267" w:rsidRPr="006A5CDD" w:rsidRDefault="00E30267" w:rsidP="005D55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D5541" w:rsidRPr="006A5CDD" w:rsidRDefault="005D5541" w:rsidP="005D554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A5CDD">
        <w:rPr>
          <w:rFonts w:ascii="Times New Roman" w:eastAsia="Calibri" w:hAnsi="Times New Roman" w:cs="Times New Roman"/>
          <w:sz w:val="27"/>
          <w:szCs w:val="27"/>
        </w:rPr>
        <w:t>Департамент законотворческой деятельности ТПП России</w:t>
      </w:r>
    </w:p>
    <w:p w:rsidR="004A339F" w:rsidRPr="00023C6F" w:rsidRDefault="005D5541" w:rsidP="00023C6F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A5CDD">
        <w:rPr>
          <w:rFonts w:ascii="Times New Roman" w:eastAsia="Calibri" w:hAnsi="Times New Roman" w:cs="Times New Roman"/>
          <w:sz w:val="27"/>
          <w:szCs w:val="27"/>
        </w:rPr>
        <w:t xml:space="preserve">(тел. 8 495 620-03-92; </w:t>
      </w:r>
      <w:hyperlink r:id="rId9" w:history="1">
        <w:r w:rsidRPr="006A5CDD">
          <w:rPr>
            <w:rStyle w:val="a5"/>
            <w:rFonts w:ascii="Times New Roman" w:eastAsia="Calibri" w:hAnsi="Times New Roman" w:cs="Times New Roman"/>
            <w:sz w:val="27"/>
            <w:szCs w:val="27"/>
          </w:rPr>
          <w:t>proekt@tpprf.ru</w:t>
        </w:r>
      </w:hyperlink>
      <w:r w:rsidRPr="006A5CDD">
        <w:rPr>
          <w:rFonts w:ascii="Times New Roman" w:eastAsia="Calibri" w:hAnsi="Times New Roman" w:cs="Times New Roman"/>
          <w:sz w:val="27"/>
          <w:szCs w:val="27"/>
        </w:rPr>
        <w:t>)</w:t>
      </w:r>
    </w:p>
    <w:sectPr w:rsidR="004A339F" w:rsidRPr="00023C6F" w:rsidSect="00751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37" w:rsidRDefault="00023837">
      <w:pPr>
        <w:spacing w:after="0" w:line="240" w:lineRule="auto"/>
      </w:pPr>
      <w:r>
        <w:separator/>
      </w:r>
    </w:p>
  </w:endnote>
  <w:endnote w:type="continuationSeparator" w:id="0">
    <w:p w:rsidR="00023837" w:rsidRDefault="0002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B8" w:rsidRDefault="009E08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B8" w:rsidRDefault="009E08B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B8" w:rsidRDefault="009E08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37" w:rsidRDefault="00023837">
      <w:pPr>
        <w:spacing w:after="0" w:line="240" w:lineRule="auto"/>
      </w:pPr>
      <w:r>
        <w:separator/>
      </w:r>
    </w:p>
  </w:footnote>
  <w:footnote w:type="continuationSeparator" w:id="0">
    <w:p w:rsidR="00023837" w:rsidRDefault="0002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B8" w:rsidRDefault="009E08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F6">
          <w:rPr>
            <w:noProof/>
          </w:rPr>
          <w:t>13</w:t>
        </w:r>
        <w:r>
          <w:fldChar w:fldCharType="end"/>
        </w:r>
      </w:p>
    </w:sdtContent>
  </w:sdt>
  <w:p w:rsidR="003C1941" w:rsidRDefault="000238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B8" w:rsidRDefault="009E08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12F96"/>
    <w:rsid w:val="00023837"/>
    <w:rsid w:val="00023C6F"/>
    <w:rsid w:val="000757CD"/>
    <w:rsid w:val="00084A2B"/>
    <w:rsid w:val="000D7060"/>
    <w:rsid w:val="000E1B86"/>
    <w:rsid w:val="001162DE"/>
    <w:rsid w:val="00116DA1"/>
    <w:rsid w:val="00135343"/>
    <w:rsid w:val="001D32CF"/>
    <w:rsid w:val="001F0971"/>
    <w:rsid w:val="002242D4"/>
    <w:rsid w:val="00233F94"/>
    <w:rsid w:val="00244104"/>
    <w:rsid w:val="00262009"/>
    <w:rsid w:val="00295DEC"/>
    <w:rsid w:val="002C19EA"/>
    <w:rsid w:val="002E05FE"/>
    <w:rsid w:val="002E1E8C"/>
    <w:rsid w:val="00305655"/>
    <w:rsid w:val="003145D8"/>
    <w:rsid w:val="00356606"/>
    <w:rsid w:val="00384E7C"/>
    <w:rsid w:val="003B7F6A"/>
    <w:rsid w:val="003E0C84"/>
    <w:rsid w:val="003F54DF"/>
    <w:rsid w:val="00401D2B"/>
    <w:rsid w:val="00403574"/>
    <w:rsid w:val="00436DA4"/>
    <w:rsid w:val="004422AA"/>
    <w:rsid w:val="00461C87"/>
    <w:rsid w:val="004654D2"/>
    <w:rsid w:val="004A339F"/>
    <w:rsid w:val="004C3272"/>
    <w:rsid w:val="004C6745"/>
    <w:rsid w:val="004D1D7E"/>
    <w:rsid w:val="004D72E7"/>
    <w:rsid w:val="004E682B"/>
    <w:rsid w:val="00517C8E"/>
    <w:rsid w:val="00522FAD"/>
    <w:rsid w:val="00535746"/>
    <w:rsid w:val="00555775"/>
    <w:rsid w:val="005653CB"/>
    <w:rsid w:val="0057747A"/>
    <w:rsid w:val="005D5541"/>
    <w:rsid w:val="005E4EFA"/>
    <w:rsid w:val="005E6650"/>
    <w:rsid w:val="00622608"/>
    <w:rsid w:val="00654BC7"/>
    <w:rsid w:val="00657D98"/>
    <w:rsid w:val="00680486"/>
    <w:rsid w:val="006A0A5A"/>
    <w:rsid w:val="006E7E45"/>
    <w:rsid w:val="006F4CF1"/>
    <w:rsid w:val="007032E5"/>
    <w:rsid w:val="00715815"/>
    <w:rsid w:val="007447A7"/>
    <w:rsid w:val="00785AA7"/>
    <w:rsid w:val="0081446E"/>
    <w:rsid w:val="0083332F"/>
    <w:rsid w:val="00836A70"/>
    <w:rsid w:val="00851203"/>
    <w:rsid w:val="00873C83"/>
    <w:rsid w:val="008B2AEB"/>
    <w:rsid w:val="0090179C"/>
    <w:rsid w:val="009138F1"/>
    <w:rsid w:val="00931F5B"/>
    <w:rsid w:val="0097451B"/>
    <w:rsid w:val="00975F54"/>
    <w:rsid w:val="00976A6A"/>
    <w:rsid w:val="009B17C9"/>
    <w:rsid w:val="009C0C2D"/>
    <w:rsid w:val="009C1AEE"/>
    <w:rsid w:val="009C53D6"/>
    <w:rsid w:val="009E08B8"/>
    <w:rsid w:val="00AD56DE"/>
    <w:rsid w:val="00AE40C0"/>
    <w:rsid w:val="00AE7112"/>
    <w:rsid w:val="00AF58BC"/>
    <w:rsid w:val="00B866BC"/>
    <w:rsid w:val="00B90E46"/>
    <w:rsid w:val="00BB41AA"/>
    <w:rsid w:val="00BC3E34"/>
    <w:rsid w:val="00C06444"/>
    <w:rsid w:val="00C126D3"/>
    <w:rsid w:val="00C25CC4"/>
    <w:rsid w:val="00C628EB"/>
    <w:rsid w:val="00C90705"/>
    <w:rsid w:val="00CA5255"/>
    <w:rsid w:val="00D13DE6"/>
    <w:rsid w:val="00D206A2"/>
    <w:rsid w:val="00D33A69"/>
    <w:rsid w:val="00D60E85"/>
    <w:rsid w:val="00D625C3"/>
    <w:rsid w:val="00D65B49"/>
    <w:rsid w:val="00D927DD"/>
    <w:rsid w:val="00DA0198"/>
    <w:rsid w:val="00DA0A04"/>
    <w:rsid w:val="00DA4244"/>
    <w:rsid w:val="00E1072B"/>
    <w:rsid w:val="00E26485"/>
    <w:rsid w:val="00E30267"/>
    <w:rsid w:val="00E61EE8"/>
    <w:rsid w:val="00E854AD"/>
    <w:rsid w:val="00E87C87"/>
    <w:rsid w:val="00EB69DC"/>
    <w:rsid w:val="00EC27D6"/>
    <w:rsid w:val="00EC37E8"/>
    <w:rsid w:val="00EC40CE"/>
    <w:rsid w:val="00EC74FE"/>
    <w:rsid w:val="00EF450E"/>
    <w:rsid w:val="00F2680B"/>
    <w:rsid w:val="00F34CF6"/>
    <w:rsid w:val="00F7058B"/>
    <w:rsid w:val="00F93570"/>
    <w:rsid w:val="00F94300"/>
    <w:rsid w:val="00FB1D50"/>
    <w:rsid w:val="00FB766B"/>
    <w:rsid w:val="00FC17A8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semiHidden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7D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E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semiHidden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7D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E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ekt@tpprf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CAC7-CC8A-4FEF-802B-14E6E3BE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А.В. (079)</dc:creator>
  <cp:lastModifiedBy>Буряг В.О. ()</cp:lastModifiedBy>
  <cp:revision>2</cp:revision>
  <cp:lastPrinted>2017-01-09T11:46:00Z</cp:lastPrinted>
  <dcterms:created xsi:type="dcterms:W3CDTF">2017-01-10T11:50:00Z</dcterms:created>
  <dcterms:modified xsi:type="dcterms:W3CDTF">2017-01-10T11:50:00Z</dcterms:modified>
</cp:coreProperties>
</file>